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KERESZTVÖLGYI ÁGNES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Verbális agresszió a középiskolában (Egy speciális szakiskolás és egy szakiskolás osztály összehasonlítása)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gyermekek, serdülők és ifjak a jövő letéteményesei, ezért fontos az, hogy kiemelten foglalkozzunk velük, az őket érő hatásokkal és ezek összefüggésében magatartá-sukkal. Úgy vélem, szülőként és pedagógusként óriási a felelősségünk velük kapcsolatban, ezért a problémák megkerülése helyett a velük való szembenézés szükségességét érzékelve választottam ezt a leginkább gyakorlati jellegű témát szakdolgozatom tárgyául.</w:t>
      </w:r>
      <w:r>
        <w:rPr>
          <w:color w:val="000000"/>
          <w:sz w:val="24"/>
          <w:szCs w:val="24"/>
        </w:rPr>
        <w:br/>
        <w:t xml:space="preserve">Az iskola mint a gyermekek, serdülők szocializációjának alapvető, intézményes közege sajátos mikrovilágként is funkcionál, melyet írott és íratlan szabályok egyaránt működtetnek. Olyan hely, mint a felnőttek világa: nap mint nap számos konfliktus zajlik benne, hiszen a szereplők sokféle érdeket képviselnek az oktatás mindennapjaiban.</w:t>
      </w:r>
      <w:r>
        <w:rPr>
          <w:color w:val="000000"/>
          <w:sz w:val="24"/>
          <w:szCs w:val="24"/>
        </w:rPr>
        <w:br/>
        <w:t xml:space="preserve">Az iskolai agresszió sokarcú jelenség, számos válfajával találkozunk, bármilyen szintjét vizsgáljuk oktatási rendszerünknek.</w:t>
      </w:r>
      <w:r>
        <w:rPr>
          <w:color w:val="000000"/>
          <w:sz w:val="24"/>
          <w:szCs w:val="24"/>
        </w:rPr>
        <w:br/>
        <w:t xml:space="preserve">Az intézményes nevelésben-oktatásban a hétköznapokhoz tartozó agresszív megnyilvánulások, ezek mértéke és megjelenési formája nagyon eltérő lehet, egyénenként és közösségenként és időszakonként változhat. Számos ok áll egy-egy erőszakos megnyilvá-nulás hátterében, ezek azonban az esetek túlnyomó részében feltáratlanok maradnak a konfliktus szereplői előtt.</w:t>
      </w:r>
      <w:r>
        <w:rPr>
          <w:color w:val="000000"/>
          <w:sz w:val="24"/>
          <w:szCs w:val="24"/>
        </w:rPr>
        <w:br/>
        <w:t xml:space="preserve">Szakdolgozatomban többek között arra is keresem a választ, hol van a határ a még egészséges önérdek-érvényesítés és az agresszió között, hiszen a két dolog egymással szoros összefüggést mutat.</w:t>
      </w:r>
      <w:r>
        <w:rPr>
          <w:color w:val="000000"/>
          <w:sz w:val="24"/>
          <w:szCs w:val="24"/>
        </w:rPr>
        <w:br/>
        <w:t xml:space="preserve">Tudom azt, hogy a tanárok előtt leginkább a tanórai viselkedés nyilvánvaló, a szünetekben és az iskolán kívül zajló konfliktusok nagyobb része ismeretlen előttük, csak közvetve szereznek róluk tudomást, azt is csak néhány estben. Ezért kutatásomhoz a megfigyelés és az interjú módszerét is felhasználtam a kérdőívek mellett. Hospitálás és számos beszélgetés alapján igyekszem elmélyíteni a kérdőívekből levont következtetéseket.</w:t>
      </w:r>
      <w:r>
        <w:rPr>
          <w:color w:val="000000"/>
          <w:sz w:val="24"/>
          <w:szCs w:val="24"/>
        </w:rPr>
        <w:br/>
        <w:t xml:space="preserve">Szakdolgozatom végén igyekszem kitekintést nyújtani a prevencióval, illetve az intervencióval kapcsolatban, lehetséges megoldási módok után kutatva.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08889">
    <w:multiLevelType w:val="hybridMultilevel"/>
    <w:lvl w:ilvl="0" w:tplc="66303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08889">
    <w:abstractNumId w:val="262088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313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