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GYÖMREI</w:t>
            </w:r>
          </w:p>
          <w:p w:rsidR="00C275A3" w:rsidRDefault="00A96AEC" w:rsidP="00C275A3">
            <w:pPr>
              <w:pStyle w:val="Hallgatokepzes"/>
            </w:pPr>
            <w:r>
              <w:t>graphic design</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Gerendy</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VitaPack packaging concept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fruit packagings available in the intertrade are not aesthetic and practical. I had these kind of visual issues on my mind during the preparation of my work. I would like to design a packaging which is applicable for the storage and delivery of the fruits, too.</w:t>
      </w:r>
      <w:r>
        <w:rPr>
          <w:color w:val="000000"/>
          <w:sz w:val="24"/>
          <w:szCs w:val="24"/>
        </w:rPr>
        <w:br/>
        <w:t xml:space="preserve">VitaPack is convenient to carry 0,5 kg orange in hand. Thanks to the round-cuts on the two side of the packaging (made from paper) we could see the fruits which we could take out easily. The packaging could be ductile from square shape into lengthy shape if we tear it up along the perforation – so we could carry it simply if we have more things in our hands.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74687">
    <w:multiLevelType w:val="hybridMultilevel"/>
    <w:lvl w:ilvl="0" w:tplc="55328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74687">
    <w:abstractNumId w:val="25874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322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