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CSIZEK</w:t>
            </w:r>
          </w:p>
          <w:p w:rsidR="00C275A3" w:rsidRDefault="00A96AEC" w:rsidP="00C275A3">
            <w:pPr>
              <w:pStyle w:val="Hallgatokepzes"/>
            </w:pPr>
            <w:r>
              <w:t>Sculpture</w:t>
            </w:r>
            <w:r>
              <w:br/>
            </w:r>
            <w:r w:rsidR="00E77B23">
              <w:t>Unified, 7.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Colin Foster</w:t>
            </w:r>
          </w:p>
          <w:p w:rsidR="00DB4822" w:rsidRDefault="00DB4822" w:rsidP="00E11062">
            <w:pPr>
              <w:pStyle w:val="Konzulensek"/>
            </w:pPr>
            <w:r w:rsidRPr="00DB4822">
              <w:t>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Emanation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university period of my work, a theme of form took shape, which, because of its opportunities inherent, has been interesting me ever since. I created these masses—seemingly inanimate at first sight, yet striking as living organisms, tumor-like—out of fireclay. Later I united this theme with the portrait genre, then further on with religious art.</w:t>
      </w:r>
      <w:r>
        <w:rPr>
          <w:color w:val="000000"/>
          <w:sz w:val="24"/>
          <w:szCs w:val="24"/>
        </w:rPr>
        <w:br/>
        <w:t xml:space="preserve">While taking my early insights into the history of philosophy did I meet with the world view of Plotinos, the founder of Neoplatonism. According to his teachings, the most primordial archetype of the universe is the One, being equivalent to the Good. When the One overflows in its abundance, this egress is the Spirit itself. As an emanation of the Spirit, the Soul is born. Emanation is but the rush of existence out of the main principle. I discovered pathways bonding my art and the act of emanation. The goal initially was to express this through my realm of forms. Eventually, I left this idea behind, for this way of mapping the Plotonian process felt blasphemous, but I wished to nurture the bond by placing emanation into a different context. It deemed it relevant to set a drastic contrast in order to emphasize the lower and the higher planes of existence. I operated through the opposition of clear versus overtly fine surfaces and shapes. Stanley Kubrick's movie, 2001: Space Odyssey, was a major influence; I adopted the symbol of transcendence, the monolith. In the creative process, I strove to remain faithful to the authentic sequences both in logic and in emanation. The tumors were built by welding sheared steel sheets, which gave them a surface of sewn patterns. Géza Szöllősi's pieces of sewn meat; the relationship between human trunks and the clear-surfaced, heavy masses in Chie Laoki's work; and Henrique Oliveria's enormous, root-like, tumorous installations—all of these list among my sources of inspiration.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26211">
    <w:multiLevelType w:val="hybridMultilevel"/>
    <w:lvl w:ilvl="0" w:tplc="17115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26211">
    <w:abstractNumId w:val="41726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11559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