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BOGLARKA BALASSA</w:t>
            </w:r>
          </w:p>
          <w:p w:rsidR="00C275A3" w:rsidRDefault="00A96AEC" w:rsidP="00C275A3">
            <w:pPr>
              <w:pStyle w:val="Hallgatokepzes"/>
            </w:pPr>
            <w:r>
              <w:t>painting faculty</w:t>
            </w:r>
            <w:r>
              <w:br/>
            </w:r>
            <w:r w:rsidR="00E77B23">
              <w:t>Unified,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Losonczy</w:t>
            </w:r>
          </w:p>
          <w:p w:rsidR="00DB4822" w:rsidRDefault="00DB4822" w:rsidP="00E11062">
            <w:pPr>
              <w:pStyle w:val="Konzulensek"/>
            </w:pPr>
            <w:r w:rsidRPr="00DB4822">
              <w:t>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Creeping ivy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intended work for the competition is the analytical observation of the ivy leaf in one hundred pictures, My work can be interpreted piece by piece or as a whole. I aspired to create an unified work, where the process of creation can be followed. Thus the pages foreshadow a train of thought.</w:t>
      </w:r>
      <w:r>
        <w:rPr>
          <w:color w:val="000000"/>
          <w:sz w:val="24"/>
          <w:szCs w:val="24"/>
        </w:rPr>
        <w:br/>
        <w:t xml:space="preserve">Three picture, three times one hundred pages. All three pieces of the series are based on a similar concept, however the realization is different. The first is characterized by more discursive gestures, and the mapping of free associations. In contrast, I aspired to create more clarity on the second picture. Instead of discursive gestures, I wanted to present a level-headed „monochrome rhythm“. The third one is actually the refined version of the second .</w:t>
      </w:r>
      <w:r>
        <w:rPr>
          <w:color w:val="000000"/>
          <w:sz w:val="24"/>
          <w:szCs w:val="24"/>
        </w:rPr>
        <w:br/>
        <w:t xml:space="preserve">The first and last panel on all three pictures meant to provide a frame to the process. Starting from the first page, the image is created from the leaf’s determinative outline, and up to the last panel where the motif arrives back to the same place . The pictures have an interpretation similar to writing (left -right, up -down) However, I hope that the finished piece- the three hundred pages put together- leaves free space for association.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00974">
    <w:multiLevelType w:val="hybridMultilevel"/>
    <w:lvl w:ilvl="0" w:tplc="11396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00974">
    <w:abstractNumId w:val="451009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045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