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EVELIN ALEXANDRA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Emlék-hatás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Amióta feltalálták a fényképezést, számtalan festő festett fotóról. A fotó utáni munka bizonyos szinten biztosítja a látvány után való, de mégis lassú, pontos festéshez szükséges feltételeket. Egy másik ok, amiért a festő fotót használ, ha a fotón olyasmi, vagy olyasvalaki látható, ami, vagy aki már nem létezik. A régi, kopott, fekete-fehér fotók aurája szinte már magától értetődően kínálkozik témának a festészet számára.</w:t>
      </w:r>
      <w:r>
        <w:rPr>
          <w:color w:val="000000"/>
          <w:sz w:val="24"/>
          <w:szCs w:val="24"/>
        </w:rPr>
        <w:br/>
        <w:t xml:space="preserve">Ez az aura engem is megragadott, de hamar rájöttem, hogy nevetségesen kevés, ha csak másolásszerűen festményre viszem a régi családi fotóinkat. Évek óta foglalkoztat, hogyan lehet ezeket a régi fotókat valódi témává tenni, és milyen eszközei vannak a festészetnek, amik az emlékszerűséget jobban érvényre juttatják, mint egy fotó. A pályamunkáimon ezekkel a festészeti eszközökkel kísérleteztem.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06031">
    <w:multiLevelType w:val="hybridMultilevel"/>
    <w:lvl w:ilvl="0" w:tplc="38253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06031">
    <w:abstractNumId w:val="86206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214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