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KOLOZSVÁRI VIKTÓRIA</w:t>
            </w:r>
          </w:p>
          <w:p w:rsidR="00C275A3" w:rsidRDefault="00A96AEC" w:rsidP="00C275A3">
            <w:pPr>
              <w:pStyle w:val="Hallgatokepzes"/>
            </w:pPr>
            <w:r>
              <w:t>festőművész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Flóra; Világos rétegek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bemutatásra szánt két képem a tavalyi tanév utolsó, valamint a jelenlegi szemeszter első munkája. Méretük, arányuk, szín- és formarendszerük által teremtenek kapcsolatot egymással. A kiindulópont mindkét esetben egy figurális kompozíciót megörökítő, számomra kedves fotó volt. A vázlat fölfestése során azonban a képelemek akaratlan szelekciója révén a kompozíciónak csak töredékét jelenítettem meg a vásznon. Ezáltal egy olyan absztraháló folyamat indult el, amelynek eredményeképpen az elemek átszerveződtek egy harmonikus mintázattá, amelynek rendszerét már én alkottam, nem a fotó. Lazúros lefedések eredményeként a kép szereplői egymáson átlátszódnak, eltakarják, de hagyják látszódni, szerepelni egymást.</w:t>
      </w:r>
      <w:r>
        <w:rPr>
          <w:color w:val="000000"/>
          <w:sz w:val="24"/>
          <w:szCs w:val="24"/>
        </w:rPr>
        <w:br/>
        <w:t xml:space="preserve">A képeimre jellemző valamiféle függetlenedés a narratív tartalmaktól, ábrázoló, illusztráló jellegtől. A képekkel való elemzőbb ismerkedés során azonban egyértelművé válik, hogy azok mégis kapcsolatot teremtenek a természet formáival, folyamataival. Az egymás elé kerülő, egymást lefedő szelíd, puha alakok élnek, ráadásul együtt élnek, egy közösségbe szerveződnek. Alakjuk biológiai lényként való értelmezésükre ösztönöz. Formai megjelenésüknél és színbeli tulajdonságaiknál fogva rokonoknak tekinthetők. A vászon egészen világos alaptónusa egy meghatározhatatlan, bizonytalan közegként hordozza felületén a szinte lebegő kékeket, rózsaszíneket és zöldeket.</w:t>
      </w:r>
      <w:r>
        <w:rPr>
          <w:color w:val="000000"/>
          <w:sz w:val="24"/>
          <w:szCs w:val="24"/>
        </w:rPr>
        <w:br/>
        <w:t xml:space="preserve">A kompozícióim megfestése tűnékeny érzelmi események és a pillanatnyi lelkiállapot feldolgozásának is utat engedő alkotói alapállásból indultak.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97040">
    <w:multiLevelType w:val="hybridMultilevel"/>
    <w:lvl w:ilvl="0" w:tplc="37733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97040">
    <w:abstractNumId w:val="9979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252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