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FELÍCIA ZSINKA</w:t>
            </w:r>
          </w:p>
          <w:p w:rsidR="00C275A3" w:rsidRDefault="00A96AEC" w:rsidP="00C275A3">
            <w:pPr>
              <w:pStyle w:val="Hallgatokepzes"/>
            </w:pPr>
            <w:r>
              <w:t>Faculty of Paintings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Losonczy</w:t>
            </w:r>
          </w:p>
          <w:p w:rsidR="00DB4822" w:rsidRDefault="00DB4822" w:rsidP="00E11062">
            <w:pPr>
              <w:pStyle w:val="Konzulensek"/>
            </w:pPr>
            <w:r w:rsidRPr="00DB4822">
              <w:t>adjunct,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Colourstair, colourdove, colourdenture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design of both a straight flush or a support vehicle. Techno Realism charged a 76 piece, transparent, mixed with oil paints, drug-resistant flush phials you more canvas used. The working Wild was born in the lessons of this process. Four deer jaw bones and teeth go through the 23 to 23-color palette mixed straight flush.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78498">
    <w:multiLevelType w:val="hybridMultilevel"/>
    <w:lvl w:ilvl="0" w:tplc="27174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78498">
    <w:abstractNumId w:val="76678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621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