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DEBORA KETHELY</w:t>
            </w:r>
          </w:p>
          <w:p w:rsidR="00C275A3" w:rsidRDefault="00A96AEC" w:rsidP="00C275A3">
            <w:pPr>
              <w:pStyle w:val="Hallgatokepzes"/>
            </w:pPr>
            <w:r>
              <w:t>Special Needs Education and Therapy</w:t>
            </w:r>
            <w:r>
              <w:br/>
            </w:r>
            <w:r w:rsidR="00E77B23">
              <w:t>BA, 5. semester</w:t>
            </w:r>
          </w:p>
          <w:p w:rsidR="00C265CE" w:rsidRPr="009E5FF1" w:rsidRDefault="00E77B23" w:rsidP="00C275A3">
            <w:pPr>
              <w:pStyle w:val="Hallgatokepzes"/>
              <w:rPr>
                <w:b/>
                <w:caps/>
              </w:rPr>
            </w:pPr>
            <w:r>
              <w:t>Eötvös Loránd University</w:t>
            </w:r>
            <w:r w:rsidR="00C275A3">
              <w:br/>
            </w:r>
            <w:r w:rsidR="00DB4822">
              <w:t>Bárczi Gusztáv Faculty of Special Education</w:t>
            </w:r>
          </w:p>
        </w:tc>
        <w:tc>
          <w:tcPr>
            <w:tcW w:w="4914" w:type="dxa"/>
          </w:tcPr>
          <w:p w:rsidR="00DB4822" w:rsidRPr="00DB4822" w:rsidRDefault="00DB4822" w:rsidP="004D7940">
            <w:pPr>
              <w:pStyle w:val="Hallgatonev"/>
              <w:rPr>
                <w:caps/>
              </w:rPr>
            </w:pPr>
            <w:r w:rsidRPr="00DB4822">
              <w:rPr>
                <w:caps/>
              </w:rPr>
              <w:t>AGOTA SOOS</w:t>
            </w:r>
          </w:p>
          <w:p w:rsidR="00DB4822" w:rsidRDefault="00C275A3" w:rsidP="004D7940">
            <w:pPr>
              <w:pStyle w:val="Hallgatokepzes"/>
            </w:pPr>
            <w:r>
              <w:t>Special Needs Education and Therapy</w:t>
            </w:r>
            <w:r w:rsidR="00A96AEC">
              <w:br/>
              <w:t>BA, 5.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Bárczi Gusztáv Faculty of Special Education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Dora Garai</w:t>
            </w:r>
          </w:p>
          <w:p w:rsidR="00DB4822" w:rsidRDefault="00DB4822" w:rsidP="00E11062">
            <w:pPr>
              <w:pStyle w:val="Konzulensek"/>
            </w:pPr>
            <w:r w:rsidRPr="00DB4822">
              <w:t>associate professor,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role of personal and virtual social networks in the coping process by examination of an online diary authored by the mother of a child with autism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this research is to identify the role of personal („off-line”) and virtual („on-line”) social networks in the coping process. We have analyzed an online diary (personal blog) of a single mother parenting her 10-year-old daughter who has Asperger syndrome, in order to map her personal and virtual relationships, and to gain a better understanding of the types of virtual support as well. This blog has provided insight into the everyday life of both mother and daughter since May 2010.</w:t>
      </w:r>
      <w:r>
        <w:rPr>
          <w:color w:val="000000"/>
          <w:sz w:val="24"/>
          <w:szCs w:val="24"/>
        </w:rPr>
        <w:br/>
        <w:t xml:space="preserve">As it is a descriptive study, at the beginning of the research we had no hypothesis but rather questions. In the first part of the study, we were interested in how the author of the blog’s personal social network had developed, and how participants (family members, friends, etc.) were located on the mother's social atom. In the second part, we would like to know who reads the blog, and if there are any common features among the followers. We also researched the types of virtual support they were offering to each other on the blog. To obtain these results, we analyzed all the posts of the author, and all the comments.</w:t>
      </w:r>
      <w:r>
        <w:rPr>
          <w:color w:val="000000"/>
          <w:sz w:val="24"/>
          <w:szCs w:val="24"/>
        </w:rPr>
        <w:br/>
        <w:t xml:space="preserve">As a result of the research, we found that the mother’s personal social network had not become narrower, as several studies claim (Kálmán, 2004), but shows atypical arrangement. The lack of family support threatens the coping process. Lack of family support is likely to be the reason that the blog’s author tends to rely on professionals (who are working with her daughter), and peers. The virtual social network is formed from the active followers, who react to the mother’s posts by leaving comments. As another result of the study, we found that they comment on disability-specific posts most of the time. The author and also the readers provide support by handing over knowledge content and providing emotional support.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30413">
    <w:multiLevelType w:val="hybridMultilevel"/>
    <w:lvl w:ilvl="0" w:tplc="74731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30413">
    <w:abstractNumId w:val="699304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83739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