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VIKTÓRIA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Zsoldos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hallásséüléshez társuló neurogén tanulási zavar/diszfázia elemzésének kísérlete a vizuális- téri képességek újabb szemléletű vizsgálatával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hallássérüléshez társuló neurogén tanulási zavar/ diszfázia elemzésének kísérlete a vizuális- téri képességek újabb szemléletű vizsgálatával</w:t>
      </w:r>
      <w:r>
        <w:rPr>
          <w:color w:val="000000"/>
          <w:sz w:val="24"/>
          <w:szCs w:val="24"/>
        </w:rPr>
        <w:br/>
        <w:t xml:space="preserve">Szerző:</w:t>
      </w:r>
      <w:r>
        <w:rPr>
          <w:color w:val="000000"/>
          <w:sz w:val="24"/>
          <w:szCs w:val="24"/>
        </w:rPr>
        <w:br/>
        <w:t xml:space="preserve">Majoros Viktória</w:t>
      </w:r>
      <w:r>
        <w:rPr>
          <w:color w:val="000000"/>
          <w:sz w:val="24"/>
          <w:szCs w:val="24"/>
        </w:rPr>
        <w:br/>
        <w:t xml:space="preserve">Témavezető:</w:t>
      </w:r>
      <w:r>
        <w:rPr>
          <w:color w:val="000000"/>
          <w:sz w:val="24"/>
          <w:szCs w:val="24"/>
        </w:rPr>
        <w:br/>
        <w:t xml:space="preserve">Dr. Zsoldos Márta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 több szakterületi kutatásának témája a hallássérüléshez társuló neurogén tanulási zavar/ diszfázia sajátos tüneteinek rendszerezése. Mivel a diszfáziás hallássérült gyermekek populációja igen heterogén, a diagnosztika és az arra épülő terápia nehezített. A tüneti sajátosságok széles skálája fordul elő, mely indokolja, hogy továbbra is foglalkozni kell a diagnózist pontosító eljárások feltérképezésével.</w:t>
      </w:r>
      <w:r>
        <w:rPr>
          <w:color w:val="000000"/>
          <w:sz w:val="24"/>
          <w:szCs w:val="24"/>
        </w:rPr>
        <w:br/>
        <w:t xml:space="preserve">Kutatásom során egy új szemléletű neuropszichológiai tesztsorozat két módszerének differenciáldiagnosztikai értékét kísérelem meg elemezni, első kipróbálással hallássérült neurogén tanulási zavart mutató populáción, fókuszba helyezve a vizuális-téri képességeket.</w:t>
      </w:r>
      <w:r>
        <w:rPr>
          <w:color w:val="000000"/>
          <w:sz w:val="24"/>
          <w:szCs w:val="24"/>
        </w:rPr>
        <w:br/>
        <w:t xml:space="preserve">A tesztbattéria két próbáját - a Koppitz-féle pontozású Bender tesztet és a Biciklirajz- tesztet - három gyermekcsoportból álló vizsgálati mintán alkalmaztam: átlagos fejlődésű hallássérült csoport, diszfáziás hallássérült csoport és halló kontrollcsoport. Teljesítményeik összehasonlítását kvantitatív és kvalitatív szempontú elemzéssel végeztem, figyelembe véve a tartós megfigyelésen alapuló pedagógiai véleményt is. Első szintű kipróbálási tapasztalataim csak részlegesen igazolják feltevésemet a tesztek differenciáldiagnosztikai értékéről, de számos olyan szempontra hívják fel a figyelmet, amely a téma további kutatásának szükségességét támasztja alá.</w:t>
      </w: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hallássérülés, neurogén tanulási zavar, diszfázia, vizuális-téri képességek, Biciklirajz- teszt, Bender- Koppitz teszt, neuropszichológiai eljárások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Budapest, 2014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11346">
    <w:multiLevelType w:val="hybridMultilevel"/>
    <w:lvl w:ilvl="0" w:tplc="25244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11346">
    <w:abstractNumId w:val="79011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595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