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VÁRNAI</w:t>
            </w:r>
          </w:p>
          <w:p w:rsidR="00C275A3" w:rsidRDefault="00A96AEC" w:rsidP="00C275A3">
            <w:pPr>
              <w:pStyle w:val="Hallgatokepzes"/>
            </w:pPr>
            <w:r>
              <w:t>BSc in Mechatronics</w:t>
            </w:r>
            <w:r>
              <w:br/>
            </w:r>
            <w:r w:rsidR="00E77B23">
              <w:t>BSc, 6.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Szabó</w:t>
            </w:r>
          </w:p>
          <w:p w:rsidR="00DB4822" w:rsidRDefault="00DB4822" w:rsidP="009763E0">
            <w:pPr>
              <w:pStyle w:val="Konzulensektitulus"/>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Numerical Analysis of Material Growth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many advances are made in the field of biological sciences, the quantitative study and modeling of growth phenomena is becoming increasingly important. It has been acknowledged that the mechanical state of living tissue plays a relevant role in the growth and remodeling processes of the tissue; however, the laws governing this material growth are not yet fully understood. The development of a computational framework allowing the study of growth phenomena through a finite element formulation would aid in testing and verifying the correctness of the proposed constitutional laws describing material growth.</w:t>
      </w:r>
    </w:p>
    <w:p>
      <w:pPr>
        <w:widowControl w:val="on"/>
        <w:pBdr/>
        <w:spacing w:before="240" w:after="240" w:line="240" w:lineRule="auto"/>
        <w:ind w:left="0" w:right="0"/>
        <w:jc w:val="left"/>
      </w:pPr>
      <w:r>
        <w:rPr>
          <w:color w:val="000000"/>
          <w:sz w:val="24"/>
          <w:szCs w:val="24"/>
        </w:rPr>
        <w:br/>
        <w:t xml:space="preserve">Over the past few decades, many different ideas have been presented about how growth may be modeled. In particular, the effects of changing mass can be incorporated into the finite element formulation either at the constitutive level [1] or the kinematic level [2]. The former method requires the introduction of density as a nodal degree of freedom in addition to the spatial coordinates; while the latter method is based on the multiplicative decomposition of the deformation gradient into an elastic component and a part describing volumetric growth.</w:t>
      </w:r>
    </w:p>
    <w:p>
      <w:pPr>
        <w:widowControl w:val="on"/>
        <w:pBdr/>
        <w:spacing w:before="240" w:after="240" w:line="240" w:lineRule="auto"/>
        <w:ind w:left="0" w:right="0"/>
        <w:jc w:val="left"/>
      </w:pPr>
      <w:r>
        <w:rPr>
          <w:color w:val="000000"/>
          <w:sz w:val="24"/>
          <w:szCs w:val="24"/>
        </w:rPr>
        <w:br/>
        <w:t xml:space="preserve">In the present study, we begin with the discussion of the two different approaches mentioned above. We continue by describing the theory behind the method based on the multiplicative decomposition of the deformation gradient in detail, with particular emphasis on its finite element formulation. Finally, we present the MATHEMATICA adaptation of a simplified version of FlagSHyP [3] – a finite element program developed for nonlinear materials - along with the implementation of the multiplicative decomposition method to account for growth effects. The program is verified through a comparison of its results with the analytical solutions known for basic example cases such as uniaxial loading.</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Literature:</w:t>
      </w:r>
    </w:p>
    <w:p>
      <w:pPr>
        <w:widowControl w:val="on"/>
        <w:pBdr/>
        <w:spacing w:before="240" w:after="240" w:line="240" w:lineRule="auto"/>
        <w:ind w:left="0" w:right="0"/>
        <w:jc w:val="left"/>
      </w:pPr>
      <w:r>
        <w:rPr>
          <w:color w:val="000000"/>
          <w:sz w:val="24"/>
          <w:szCs w:val="24"/>
        </w:rPr>
        <w:t xml:space="preserve">1. Kuhl, E., Menzel, A., Steinmann, P. Computational modeling of growth. Computational Mechanics, 2003, vol. 32, no. 1-2, p. 71-88.</w:t>
      </w:r>
      <w:r>
        <w:rPr>
          <w:color w:val="000000"/>
          <w:sz w:val="24"/>
          <w:szCs w:val="24"/>
        </w:rPr>
        <w:br/>
        <w:t xml:space="preserve">2. Liu, Y., Zhang, H., Zheng, Y., Zhang, S., Chen, B. A Nonlinear Finite Element Model for the Stress Analysis of Soft Solids with a Growing Mass. International Journal of Solids and Structures, 2014, vol. 57, no. 17, p. 2964–2978.</w:t>
      </w:r>
      <w:r>
        <w:rPr>
          <w:color w:val="000000"/>
          <w:sz w:val="24"/>
          <w:szCs w:val="24"/>
        </w:rPr>
        <w:br/>
        <w:t xml:space="preserve">3. Bonet, J., Wood, R.D. Nonlinear Continuum Mechanics for Finite Element Analysis.</w:t>
      </w:r>
      <w:r>
        <w:rPr>
          <w:color w:val="000000"/>
          <w:sz w:val="24"/>
          <w:szCs w:val="24"/>
        </w:rPr>
        <w:br/>
        <w:t xml:space="preserve">2nd ed. Cambridge University Press, 2008. p. 266-307. ISBN-13 978-0-521-83870-2.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64073">
    <w:multiLevelType w:val="hybridMultilevel"/>
    <w:lvl w:ilvl="0" w:tplc="70097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64073">
    <w:abstractNumId w:val="72764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619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