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KALMAN KLAPCSIK</w:t>
            </w:r>
          </w:p>
          <w:p w:rsidR="00C275A3" w:rsidRDefault="00A96AEC" w:rsidP="00C275A3">
            <w:pPr>
              <w:pStyle w:val="Hallgatokepzes"/>
            </w:pPr>
            <w:r>
              <w:t>mechnaical engineering</w:t>
            </w:r>
            <w:r>
              <w:br/>
            </w:r>
            <w:r w:rsidR="00E77B23">
              <w:t>MSc, 3.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Ferenc Hegedűs</w:t>
            </w:r>
          </w:p>
          <w:p w:rsidR="00DB4822" w:rsidRDefault="00DB4822" w:rsidP="00E11062">
            <w:pPr>
              <w:pStyle w:val="Konzulensek"/>
            </w:pPr>
            <w:r w:rsidRPr="00DB4822">
              <w:t>assistant professor,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nonlinear dynamical analysis of a harmonically excited gas bubble in high viscosity liquid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During the collapse of a cavitation bubble extreme conditions may be generated, such as, high pressure and temperature or even shock waves. The cavitation causes serious damage in turbomachines and other hydraulic systems. However, there are special ultrasonic technologies, where the extreme conditions induced by the collapse of a cavitation bubble can be exploited. They are used in various fields of industry, such as, food preservation; production of new kind of copolymers; alteration of viscosity of tixotropic fluids; in the usage of the bubble interior as a small reactor chamber or in special medical application of cancer therapy.</w:t>
      </w:r>
      <w:r>
        <w:rPr>
          <w:color w:val="000000"/>
          <w:sz w:val="24"/>
          <w:szCs w:val="24"/>
        </w:rPr>
        <w:br/>
        <w:t xml:space="preserve">The above mentioned applications motivated us to analyze a single, harmonically excited spherical gas/vapour bubble placed in the highly viscous glycerine. Although the spherical geometry of the bubble is a rather crude assumption, it is a good approximation in case of small bubbles. During our investigations the main aim was to seek large amplitude, collapse-like oscillations. With the aid of the modern nonlinear dynamical theories and its rapidly evolving, sophisticated numerical methods, such as the pseudo-arc length continuation technique the parameter regions where the bubble wall velocity as high as possible (or even greater than the sound speed in the liquid domain) could be determined.</w:t>
      </w:r>
      <w:r>
        <w:rPr>
          <w:color w:val="000000"/>
          <w:sz w:val="24"/>
          <w:szCs w:val="24"/>
        </w:rPr>
        <w:br/>
        <w:t xml:space="preserve">The investigated substance was the highly viscous glycerine, because it can be found in many medical and pharmaceutical preparations. Moreover, in the field of bubble dynamics the majority of papers are related to water. Because of the harmonic forcing, the most important parameters were the pressure amplitude and frequency of the excitation. The viscosity of glycerine is approximately three orders of magnitude larger than of water. Therefore, the system has a high damping effect which makes the hunting for high amplitude collapse-like bubble oscillation difficult. Because of the very strong dependence of the viscosity on the ambient temperature it was regarded as a third control parameter.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075575">
    <w:multiLevelType w:val="hybridMultilevel"/>
    <w:lvl w:ilvl="0" w:tplc="241481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075575">
    <w:abstractNumId w:val="870755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87388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