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BORBALA TAKACS</w:t>
            </w:r>
          </w:p>
          <w:p w:rsidR="00C275A3" w:rsidRDefault="00A96AEC" w:rsidP="00C275A3">
            <w:pPr>
              <w:pStyle w:val="Hallgatokepzes"/>
            </w:pPr>
            <w:r>
              <w:t>Energy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Iván Gács</w:t>
            </w:r>
          </w:p>
          <w:p w:rsidR="00DB4822" w:rsidRDefault="00DB4822" w:rsidP="00E11062">
            <w:pPr>
              <w:pStyle w:val="Konzulensek"/>
            </w:pPr>
            <w:r w:rsidRPr="00DB4822">
              <w:t>Associate Professor, BME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assessment of domestic size photovoltaic production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Renewable energy sources play an increasingly important role in world energy production. For the first time in 2009, the European Union has defined guidelines for the development of renewables. Currently, the new technologies are not able to compete with conventional energy production, therefore countries created support schemes for facilitating their spread. Thanks to the support in most of the counties the domestic electricity price increase can be observed. That is why people are trying to become independent from the network and produce the necessary energy with small power plants, especially with solar panels.</w:t>
      </w:r>
      <w:r>
        <w:rPr>
          <w:color w:val="000000"/>
          <w:sz w:val="24"/>
          <w:szCs w:val="24"/>
        </w:rPr>
        <w:br/>
        <w:t xml:space="preserve">There are several types of support and settlement schemes in the European Union. In Hungary, the so-called net settlement applies to domestic small-scale power plants, which means that essentially they take a longer period (one month or year) and net the energy flow during this time, and you are charged for the resulting balance. It means, the prosumer can use the network for free, to “store” electricity. This is an additional cost for the energy supplier, which is not yet significant, but it will increase with the spread of solar cells.</w:t>
      </w:r>
      <w:r>
        <w:rPr>
          <w:color w:val="000000"/>
          <w:sz w:val="24"/>
          <w:szCs w:val="24"/>
        </w:rPr>
        <w:br/>
        <w:t xml:space="preserve">Hungary is still faces a solar blast, and should be prepared for possible problems. Therefore, in my paper I present the different support schemes in the EU in details. I introduce the problems encountered the countries who already have significant solar energy production. I detail what kind of problems can be on the distribution system and the cost what these involve. Then I try to find a solution which is good for both the prosumers and the distribution system, and I present with the example of a house, how a solar power plant and a storage solution can work together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32800">
    <w:multiLevelType w:val="hybridMultilevel"/>
    <w:lvl w:ilvl="0" w:tplc="669508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32800">
    <w:abstractNumId w:val="625328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56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