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JÁNOS MAYER</w:t>
            </w:r>
          </w:p>
          <w:p w:rsidR="00C275A3" w:rsidRDefault="00A96AEC" w:rsidP="00C275A3">
            <w:pPr>
              <w:pStyle w:val="Hallgatokepzes"/>
            </w:pPr>
            <w:r>
              <w:t>Mechanical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Bihari</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utilization possibilities of renewable energy sources and waste heat using organic Rankine-cycle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organic Rankine-cycle (ORC) enables the electricity generation based on low temperature heat sources with a relatively good efficiency. The examined heat sources were solar radiation, geothermal heat and waste heat of different industrial processes. Models were created to describe the operation of the thermodynamic cycle and the heat sources and calculate the power, efficiency and other important characteristics of the ORC system. A simulation program performing a wide range of calculations and analyses was created in Matlab.</w:t>
      </w:r>
    </w:p>
    <w:p>
      <w:pPr>
        <w:widowControl w:val="on"/>
        <w:pBdr/>
        <w:spacing w:before="240" w:after="240" w:line="240" w:lineRule="auto"/>
        <w:ind w:left="0" w:right="0"/>
        <w:jc w:val="left"/>
      </w:pPr>
      <w:r>
        <w:rPr>
          <w:color w:val="000000"/>
          <w:sz w:val="24"/>
          <w:szCs w:val="24"/>
        </w:rPr>
        <w:t xml:space="preserve">Based on simulation results the optimal value of the main operating parameters, e.g. the evaporation temperature of the organic working fluid were determined. Considering optimal operating conditions of the system electric power and efficiency of the system were also calculated in many different cases. Annual energy production of the ORC system can be calculated by using annual time series data of the heat source. Since selling energy can be accounted for the incomes of the investment describing energy production is very important in a payback calculation.</w:t>
      </w:r>
    </w:p>
    <w:p>
      <w:pPr>
        <w:widowControl w:val="on"/>
        <w:pBdr/>
        <w:spacing w:before="240" w:after="240" w:line="240" w:lineRule="auto"/>
        <w:ind w:left="0" w:right="0"/>
        <w:jc w:val="left"/>
      </w:pPr>
      <w:r>
        <w:rPr>
          <w:color w:val="000000"/>
          <w:sz w:val="24"/>
          <w:szCs w:val="24"/>
        </w:rPr>
        <w:t xml:space="preserve">Several simple method of payback calculation were presented and main factors affecting the return time are highlighted. The results of the technical analyses supported by the economic considerations show us a comprehensive picture about the feasibility of the ORC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21304">
    <w:multiLevelType w:val="hybridMultilevel"/>
    <w:lvl w:ilvl="0" w:tplc="88432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21304">
    <w:abstractNumId w:val="12821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768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