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ERDŐS</w:t>
            </w:r>
          </w:p>
          <w:p w:rsidR="00C275A3" w:rsidRDefault="00A96AEC" w:rsidP="00C275A3">
            <w:pPr>
              <w:pStyle w:val="Hallgatokepzes"/>
            </w:pPr>
            <w:r>
              <w:t>BSc in Mechatronics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ÁDÁM FARKAS</w:t>
            </w:r>
          </w:p>
          <w:p w:rsidR="00DB4822" w:rsidRDefault="00C275A3" w:rsidP="004D7940">
            <w:pPr>
              <w:pStyle w:val="Hallgatokepzes"/>
            </w:pPr>
            <w:r>
              <w:t>Transportation Engineer</w:t>
            </w:r>
            <w:r w:rsidR="00A96AEC">
              <w:br/>
              <w:t>BSc,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Transportation Engineering and Vehicle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Czmerk</w:t>
            </w:r>
          </w:p>
          <w:p w:rsidR="00DB4822" w:rsidRDefault="00DB4822" w:rsidP="00E11062">
            <w:pPr>
              <w:pStyle w:val="Konzulensek"/>
            </w:pPr>
            <w:r w:rsidRPr="00DB4822">
              <w:t>professor's assistant, BME GPK</w:t>
            </w:r>
          </w:p>
        </w:tc>
      </w:tr>
      <w:tr w:rsidR="00DB4822" w:rsidTr="00DB4822">
        <w:tc>
          <w:tcPr>
            <w:tcW w:w="9854" w:type="dxa"/>
          </w:tcPr>
          <w:p w:rsidR="00DB4822" w:rsidRPr="00DB4822" w:rsidRDefault="00DB4822" w:rsidP="004D7940">
            <w:pPr>
              <w:pStyle w:val="Konzulensek"/>
            </w:pPr>
            <w:r w:rsidRPr="00DB4822">
              <w:t>Lehel Kádár</w:t>
            </w:r>
          </w:p>
          <w:p w:rsidR="00DB4822" w:rsidRDefault="00DB4822" w:rsidP="00E11062">
            <w:pPr>
              <w:pStyle w:val="Konzulensek"/>
            </w:pPr>
            <w:r w:rsidRPr="00DB4822">
              <w:t>senior research fellow,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active suspension systems in hub-wheel electric vehicles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Electric vehicles have more and more important role nowadays. In these vehicles there are more possibilities in placing the drivetrain components. A possible configuration is to integrate the electric motor into the wheel hub. It can result in better handling assuming the use of torque vectoring control. It means that we separately control the torque of each wheel-motor using up-to-date power electronics. This configuration has an often recalled disadvantage: it causes higher unsprung mass, which results a number of issues. Some articles has recently been published in this topic.</w:t>
      </w:r>
      <w:r>
        <w:rPr>
          <w:color w:val="000000"/>
          <w:sz w:val="24"/>
          <w:szCs w:val="24"/>
        </w:rPr>
        <w:br/>
        <w:t xml:space="preserve">In our research, we focus on a possible solution to reduce these phenomena: by using active suspension systems, active damping. Active – or more likely semi-active – suspension systems are built into high end production cars nowadays, and there are some recent concept cars using this technology as well.</w:t>
      </w:r>
      <w:r>
        <w:rPr>
          <w:color w:val="000000"/>
          <w:sz w:val="24"/>
          <w:szCs w:val="24"/>
        </w:rPr>
        <w:br/>
        <w:t xml:space="preserve">In our paper we showcase some of the actual solutions. These systems are based on a wide range of working principles, including hydraulic, pneumatic and electric solutions. We evaluate them by listing the advantages and disadvantages of the different designs, focusing on the special requirements of the hub-wheel vehicles.</w:t>
      </w:r>
      <w:r>
        <w:rPr>
          <w:color w:val="000000"/>
          <w:sz w:val="24"/>
          <w:szCs w:val="24"/>
        </w:rPr>
        <w:br/>
        <w:t xml:space="preserve">We examinate the effect of the increased unsprung mass by an analytic quarter-car model. This model is modified to meet the specific needs of the active suspensions. We identify the deviations from the dynamic behaviour of a „standard” reference vehicle.</w:t>
      </w:r>
      <w:r>
        <w:rPr>
          <w:color w:val="000000"/>
          <w:sz w:val="24"/>
          <w:szCs w:val="24"/>
        </w:rPr>
        <w:br/>
        <w:t xml:space="preserve">We design a special controller to compensate these deviations, focusing on the more severe ones. After considering the different control possibilities, we decided to design an LQR (Linear Quadratic Regulator) controller. We document the design process step-by-step. There are a lot of possibilities to tune this controller by setting different parameters.</w:t>
      </w:r>
      <w:r>
        <w:rPr>
          <w:color w:val="000000"/>
          <w:sz w:val="24"/>
          <w:szCs w:val="24"/>
        </w:rPr>
        <w:br/>
        <w:t xml:space="preserve">We simulate the effect of our controller using the vehicle dynamics simulation capabilities of the AMESim simulation environment. We prove the functionality of the controller by a quarter-car model. We also run some simulations with a more advanced full-car model (15 DoF), where some weak points of the quarter-car based controller are found. Because of these weak points we find it necessary to develop a full-car model based controller as a future research possibility. The complexity of the topic clearly demonstrates the need for an advanced simulation platform, like the AMESim software, for the next steps.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78932">
    <w:multiLevelType w:val="hybridMultilevel"/>
    <w:lvl w:ilvl="0" w:tplc="48466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78932">
    <w:abstractNumId w:val="53778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210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