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ZELLES</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Horváth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 and interspecific spatial pattern of coegsistent small mammals in clear-cutting forest management fragmented patches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Small mammals are proved to be appropriate modell organisms for the studying the effect of the interspecific competiton on population attributes and the competitive moderating impact for segregation mechanism which can provide the spatial and temporal aggragation of the species.</w:t>
      </w:r>
      <w:r>
        <w:rPr>
          <w:color w:val="000000"/>
          <w:sz w:val="24"/>
          <w:szCs w:val="24"/>
        </w:rPr>
        <w:br/>
        <w:t xml:space="preserve">Our studies site was the Bükkhát Forest Reserve where we investigated the effect of the clear-cutting forestry on the intra- and interspecific spatial pattern of the small mammals in 2013 and 2014. For the research we place 3 quadrats in 2013, 4 quadrats in 2014 in gaps and we used tha same 3 quadrats in closed forests in both years.</w:t>
      </w:r>
      <w:r>
        <w:rPr>
          <w:color w:val="000000"/>
          <w:sz w:val="24"/>
          <w:szCs w:val="24"/>
        </w:rPr>
        <w:br/>
        <w:t xml:space="preserve">During our work we assessed the demographic parameters of 4 coegsistant small mammals (Apodemus flavicollis, Apodemus agrarius, Microtus glareolus, Microtus arvalis), the intraspecific spatial distribution and the spatial assotiation between species in the comparison of the two different density years and the habitats.</w:t>
      </w:r>
      <w:r>
        <w:rPr>
          <w:color w:val="000000"/>
          <w:sz w:val="24"/>
          <w:szCs w:val="24"/>
        </w:rPr>
        <w:br/>
        <w:t xml:space="preserve">We calculated the parameters that expresses the studied small mammals distribution within the population from the significantly appreciable year with higher density. From these parameters we observed that the aggragation, density/trap station and interspcific overlap of the seeded species in the population depends largely on the preference of areas and the dynamic of population between seasons. According to our expectations, the population of the dominant yellow-necked mouse was less sensitive for the density-dependent factors.</w:t>
      </w:r>
      <w:r>
        <w:rPr>
          <w:color w:val="000000"/>
          <w:sz w:val="24"/>
          <w:szCs w:val="24"/>
        </w:rPr>
        <w:br/>
        <w:t xml:space="preserve">In our work the abundance of the 4 species showed difference in the comparison of two years and the interanctions between species were more pronounced in the year with higher density (2014) than in the year with lower density (2013) However the spatial assotiaton of the two Apodemus species were charachteristed in both years.</w:t>
      </w:r>
      <w:r>
        <w:rPr>
          <w:color w:val="000000"/>
          <w:sz w:val="24"/>
          <w:szCs w:val="24"/>
        </w:rPr>
        <w:br/>
        <w:t xml:space="preserve">The spatial association between the populations and the dergee of segregation in interspecific approach were density-dependent. Based on our results we accept the second question posed nullhypothesis in interspecific approach that the gaps promote the segregation of the species, thereby reduce the competition between species.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18900">
    <w:multiLevelType w:val="hybridMultilevel"/>
    <w:lvl w:ilvl="0" w:tplc="10110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18900">
    <w:abstractNumId w:val="88418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559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