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JÁNOSA</w:t>
            </w:r>
          </w:p>
          <w:p w:rsidR="00C275A3" w:rsidRDefault="00A96AEC" w:rsidP="00C275A3">
            <w:pPr>
              <w:pStyle w:val="Hallgatokepzes"/>
            </w:pPr>
            <w:r>
              <w:t>Biology</w:t>
            </w:r>
            <w:r>
              <w:br/>
            </w:r>
            <w:r w:rsidR="00E77B23">
              <w:t>BSc, 9.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Győző Horváth PhD</w:t>
            </w:r>
          </w:p>
          <w:p w:rsidR="00DB4822" w:rsidRDefault="00DB4822" w:rsidP="00E11062">
            <w:pPr>
              <w:pStyle w:val="Konzulensek"/>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species composition and community structure density-dependent variation at small mammals in clear-cutting fragmented forest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project at Bükkhát forest reserve we aimed to answer the influence of clear-cutting on composition of small mammal, the changes of character species abundance conditions, and the indicator value of species in spatial scale.</w:t>
      </w:r>
      <w:r>
        <w:rPr>
          <w:color w:val="000000"/>
          <w:sz w:val="24"/>
          <w:szCs w:val="24"/>
        </w:rPr>
        <w:br/>
        <w:t xml:space="preserve">For the research we placed three small (0,1 – 0,3 ha) and young (1-2 years) quadrats in artificial gaps (L1-L3), as well as three quadrats in closed forest. During the studies we used capture-mark-recapture (CMR) method with catch alive traps. In the quadrats applied 7×7 box traps. In order to examine the coverage of the area and the edge effect the distance between the traps was 12 meters.</w:t>
      </w:r>
      <w:r>
        <w:rPr>
          <w:color w:val="000000"/>
          <w:sz w:val="24"/>
          <w:szCs w:val="24"/>
        </w:rPr>
        <w:br/>
        <w:t xml:space="preserve">Using the catch data we evaluated the alpha-diversity of the different patches. We calculated the community parameters monthly and yearly basis for the gaps and closed forests. The rare species sensitive Shannon-diversity in both years were significantly higher in the gaps than in the closed forests which is due to the open areas characteristic species (like shrews, common vole, eurasian harvest mouse).</w:t>
      </w:r>
      <w:r>
        <w:rPr>
          <w:color w:val="000000"/>
          <w:sz w:val="24"/>
          <w:szCs w:val="24"/>
        </w:rPr>
        <w:br/>
        <w:t xml:space="preserve">We analyzed the community parameters (richness, diversity) as dependent variables by two categorical factors (year, forest patch) and the abundance details of the dominant species as continuous predictors with general linear models (GLM). The result of the modeling reflects our hypothesis, according to increase of the density can be detected in the number of species. The GLM results in regards of both the abundance and the community parameters confirmed the importance of the categorical and the continuous predictors. The species richness regards special importance of the gaps and the difference of the two year. In respect of the Shannon-diversity the modeling confirmed that the increase of the eudominant yellow-necked wood mouse abundance and the density of the common species has negative effects on diversity.</w:t>
      </w:r>
      <w:r>
        <w:rPr>
          <w:color w:val="000000"/>
          <w:sz w:val="24"/>
          <w:szCs w:val="24"/>
        </w:rPr>
        <w:br/>
        <w:t xml:space="preserve">The indicator values in both years confirmed the high dominance of the yellow-necked wood mouse. The striped field mouse, the protected eurasian harvest mouse, the common vole, the protected field vole and the lesser white-toothed shrew appeared with significant character value. All the species listed above indicated the first artificial gap and the gap-like areas.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451797">
    <w:multiLevelType w:val="hybridMultilevel"/>
    <w:lvl w:ilvl="0" w:tplc="527758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451797">
    <w:abstractNumId w:val="354517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29030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