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KISPÁL</w:t>
            </w:r>
          </w:p>
          <w:p w:rsidR="00C275A3" w:rsidRDefault="00A96AEC" w:rsidP="00C275A3">
            <w:pPr>
              <w:pStyle w:val="Hallgatokepzes"/>
            </w:pPr>
            <w:r>
              <w:t>Minority Politics</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Olasz</w:t>
            </w:r>
          </w:p>
          <w:p w:rsidR="00DB4822" w:rsidRDefault="00DB4822" w:rsidP="00E11062">
            <w:pPr>
              <w:pStyle w:val="Konzulensek"/>
            </w:pPr>
            <w:r w:rsidRPr="00DB4822">
              <w:t>senior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Tribulations of Germans in historic Hungary’s southern and northern lands in the 20th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Beside the Hungarian minority, almost 2 million Germans were also disrupted in the Carpathian basin due to the treaty of Trianon, who were getting minority in the neighboring countries. The two states appearing in my study “inherited” 265,000 (Czechoslovakia) and 310,000 (Yugoslavia) German people. They, unlike Hungarian minority, were privileged between the two world wars, but the wartime and political affairs of the World War II sealed their communities’ fate in the region. Because of sustaining a defeat in the war, Germans were reckoned as war criminals all around Europe, that smit also the Germans in the Carpathian basin. After the war the two neighboring governance “did not need” the former preferred minority anymore, therefore they treated them as problematic community and aimed to get rid of the Germans with fire and sword (incl. relocation, internment, genocide). </w:t>
      </w:r>
    </w:p>
    <w:p>
      <w:pPr>
        <w:widowControl w:val="on"/>
        <w:pBdr/>
        <w:spacing w:before="240" w:after="240" w:line="240" w:lineRule="auto"/>
        <w:ind w:left="0" w:right="0"/>
        <w:jc w:val="left"/>
      </w:pPr>
      <w:r>
        <w:rPr>
          <w:color w:val="000000"/>
          <w:sz w:val="24"/>
          <w:szCs w:val="24"/>
        </w:rPr>
        <w:t xml:space="preserve">That is the way how to lose 600,000 German-speaking people from Délvidék and Felvidék according to the census of 1910. An analysis of their real story could unfold such a territorial problem, which might also explain the hostilities and conflicts we have in these days. The investigated issue demonstrates the contemporary practice of policy making against minorities and the great-power ignorance and disinterest about the mere existence of each minority. The research also enlarges the insular approach of the Hungarian scientific life and general opinion. Those only analyses the Hungarian minority’s fate regardless of the approximately similarly sized and treated German population in the Carpathian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33825">
    <w:multiLevelType w:val="hybridMultilevel"/>
    <w:lvl w:ilvl="0" w:tplc="7409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33825">
    <w:abstractNumId w:val="16333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666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