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BESZÉDES</w:t>
            </w:r>
          </w:p>
          <w:p w:rsidR="00C275A3" w:rsidRDefault="00A96AEC" w:rsidP="00C275A3">
            <w:pPr>
              <w:pStyle w:val="Hallgatokepzes"/>
            </w:pPr>
            <w:r>
              <w:t>andragogy</w:t>
            </w:r>
            <w:r>
              <w:br/>
            </w:r>
            <w:r w:rsidR="00E77B23">
              <w:t>MA, 1. semester</w:t>
            </w:r>
          </w:p>
          <w:p w:rsidR="00C265CE" w:rsidRPr="009E5FF1" w:rsidRDefault="00E77B23" w:rsidP="009763E0">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Eva Farkas</w:t>
            </w:r>
          </w:p>
          <w:p w:rsidR="00DB4822" w:rsidRDefault="00DB4822" w:rsidP="009763E0">
            <w:pPr>
              <w:pStyle w:val="Konzulensektitulus"/>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System of adult education in Serbia, especially in Vojvodina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most European countries the notion of adult learning is not a foreign concept – one can in fact encounter well-developed adult education systems. I am certain that the education and training of adults results not only in decreasing unemployment, but is also the foundation of personal development, useful citizenship and therefore the development of a country as well, including the society and economy thereof.</w:t>
      </w:r>
      <w:r>
        <w:rPr>
          <w:color w:val="000000"/>
          <w:sz w:val="24"/>
          <w:szCs w:val="24"/>
        </w:rPr>
        <w:br/>
        <w:t xml:space="preserve">Prior to the 1990s non-formal adult education was prevalent in Serbia, while in 1992 formal adult education became available for potential learners. The country was hit by several historical and ecomical crises owing to which this developing educational subsystem was pushed into the background. What is the prevailing situation today, in the 21</w:t>
      </w:r>
      <w:r>
        <w:rPr>
          <w:color w:val="000000"/>
          <w:position w:val="4"/>
          <w:sz w:val="21"/>
          <w:szCs w:val="21"/>
          <w:vertAlign w:val="superscript"/>
        </w:rPr>
        <w:t xml:space="preserve">st</w:t>
      </w:r>
      <w:r>
        <w:rPr>
          <w:color w:val="000000"/>
          <w:sz w:val="24"/>
          <w:szCs w:val="24"/>
        </w:rPr>
        <w:t xml:space="preserve"> century, in the field of formal and non-formal adult education in Serbia? The purpose of this paper was to answer this question while an attempt to establish a comprehensive picture of the country’s current situation was also given. I explored demographical characteristic as well as those of the labor market and migration in the Republic of Serbia, and provided an elaborate depiction of the Serbian education system, with special attention to adult education. Last but not least, I summarized the national data of formal and non-formal adult education together with the characteristics of andragogy training. In each topic I put an emphasis on the criteria present in Vojvodina – the region populated by the Hungarian minorty, the country’s second largest nationality – since adult training may foster the persistence of Hungarians living there. The majority of the country’s population is not familiar with the concept of adult education and participation in trainings is also low (only 16 %), significantly below the European average. One of the underlying reasons for this is that the law for adult education in Serbia did not exist until June 2013. The first act became effective 1 January 2014, which may potentially provide a solution for the current deficiencies present in this field. The act was analyzed in this paper using a comparative method with which the Adult Education Act in Serbia was compared with the legislation for Adult Education in Hungary.</w:t>
      </w:r>
      <w:r>
        <w:rPr>
          <w:color w:val="000000"/>
          <w:sz w:val="24"/>
          <w:szCs w:val="24"/>
        </w:rPr>
        <w:br/>
        <w:t xml:space="preserve">Serbia has taken the first step in creating an organized and complex framework for the functioning of adult education. I am positive in stating that the negative tendencies mentioned in this paper will subsequently be resolved.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84413">
    <w:multiLevelType w:val="hybridMultilevel"/>
    <w:lvl w:ilvl="0" w:tplc="90637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84413">
    <w:abstractNumId w:val="884844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64770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