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FECSKE</w:t>
            </w:r>
          </w:p>
          <w:p w:rsidR="00C275A3" w:rsidRDefault="00A96AEC" w:rsidP="00C275A3">
            <w:pPr>
              <w:pStyle w:val="Hallgatokepzes"/>
            </w:pPr>
            <w:r>
              <w:t>andragogy</w:t>
            </w:r>
            <w:r>
              <w:br/>
            </w:r>
            <w:r w:rsidR="00E77B23">
              <w:t>MA, 3.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Farkas</w:t>
            </w:r>
          </w:p>
          <w:p w:rsidR="00DB4822" w:rsidRDefault="00DB4822" w:rsidP="009763E0">
            <w:pPr>
              <w:pStyle w:val="Konzulensektitulus"/>
            </w:pPr>
            <w:r w:rsidRPr="00DB4822">
              <w:t>PhD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„Opportunity in the support” Research on participation characteristics of adult education with special regard to the supported educational possibilities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earlier theories, learning belonged to youth and childhood almost exclusively while work and family life was related to the adulthood. Nowadays, in this globalized world this concept doesn’t work any more. The knowledge that we acquired at a certain time and level is not enough for our whole life, as the permanently changing world we live in and the growing amount of information are expecting us to be up-to-date both in our work and private life. We can win over these challenges only if we become a participant of different learning processes continuously, regardless of the type of learning forms which can be a traditional or nonformal education program or information acquisition in informal learning environment. In this context lifelong learning becomes not only necessary but higher and higher rated and as a result of it, we can experience development not only on economical and social level but it is also a profitable investment for anyone. Although the number of participants who attend some adult education program increases on national level, this rate is still too low compared to the participant figures of other European Union member states.</w:t>
      </w:r>
    </w:p>
    <w:p>
      <w:pPr>
        <w:widowControl w:val="on"/>
        <w:pBdr/>
        <w:spacing w:before="240" w:after="240" w:line="240" w:lineRule="auto"/>
        <w:ind w:left="0" w:right="0"/>
        <w:jc w:val="left"/>
      </w:pPr>
      <w:r>
        <w:rPr>
          <w:color w:val="000000"/>
          <w:sz w:val="24"/>
          <w:szCs w:val="24"/>
        </w:rPr>
        <w:t xml:space="preserve">My thesis is based on both a secondary analysis of relavant statistical data (EUROSTAT, OSAP) and a literature review which included domestic data on participation figures of adult education programs, indicators concerning adult education program support, legal background of the adult education system, the motivation of learning and the obstacles of participation in adult education. For elaborating the theoretical background of my theses, I used empiric approach which was connected to training programs in certain Social Renewal Operational Program projects supported by the European Union. My research was based on questionnaires and it was completed with interviews of focus group members. The key questions of my research targeted personal opinions on individual utilization of training programs supported by the European Union, the expectations of the training participants and their position on labour market after graduation. The training program, which participants were the focus group members of my theses, was financed by TÁMOP 1.1.2. and TÁMOP 2.1.6 project sources and the events were organised and conducted by SZTÁV Felnőttképző zRt.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01988">
    <w:multiLevelType w:val="hybridMultilevel"/>
    <w:lvl w:ilvl="0" w:tplc="95917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01988">
    <w:abstractNumId w:val="32201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568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