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GERGELY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Győri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diákolimpia labdarúgó eredményei az utánpótlás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diákolimpia; labdarúgás; labdarúgás területi mutatói; labdarúgó utánpótlás-nevelés; sporttehetségek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kapcsolatot keressek a gazdasági és társadalmi fejlettség, a labdarúgó diákolimpiai eredmények, az utánpótlás-nevelés területi mutatói, illetve labdarúgó akadémiák elhelyezkedése között. A labdarúgás sportágban való személyes érintettségen túl azért választottam ezt a témát, mert a futballal foglalkozó szakirodalom viszonylag kevés figyelmet szentel azoknak a területi változóknak, melyek meghatározhatják mind az utánpótlás-nevelés, mind a különböző szintű bajnokságokban való szereplés sikerességét.</w:t>
      </w:r>
      <w:r>
        <w:rPr>
          <w:color w:val="000000"/>
          <w:sz w:val="24"/>
          <w:szCs w:val="24"/>
        </w:rPr>
        <w:br/>
        <w:t xml:space="preserve">Munkám során a megyei szintre bontott adatokat gazdasági, társadalmi erőforrások alapján analizálom, s azt vizsgálom, hatással lehetnek-e arra vonatkozóan, hogy egy-egy megyéből hány alkalommal jutottak be iskolák a diákolimpia labdarúgó országos döntőjének legjobbjai (1-8. hely) közé, s ott milyen helyezést értek el. A szakirodalom áttekintése után kérdésként merült fel bennem az is, hogy egy labdarúgó utánpótlás-nevelő bázis, vagy egy első osztályú csapat mekkora húzóerővel bír a sportág kiválasztásában és mindez megjelenik-e diákolimpiai eredményességben.</w:t>
      </w:r>
      <w:r>
        <w:rPr>
          <w:color w:val="000000"/>
          <w:sz w:val="24"/>
          <w:szCs w:val="24"/>
        </w:rPr>
        <w:br/>
        <w:t xml:space="preserve">A megyék társadalmi és gazdasági tényezőinek adatait hivatalos internetes forrásokból merítettem. Az elemzéshez használt III. és IV. korcsoportos fiú diákolimpiai eredményeket szintén a Magyar Diáksport Szövetség honlapjáról gyűjtöttem ki. A statisztikai analízis alapján arra a következtetésre jutottam, hogy diákolimpiai eredményességet kevésbé befolyásolják a gazdasági mutatók (GDP, TAO). A különböző társadalmi mutatók sem mutattak erős kapcsolatot az eredményességgel. A különféle társadalmi és gazdasági mutatók egymásra hatása azonban viszonylag jó kidomborodott (pl. TAO támogatás és az igazolt játékosok száma)</w:t>
      </w:r>
      <w:r>
        <w:rPr>
          <w:color w:val="000000"/>
          <w:sz w:val="24"/>
          <w:szCs w:val="24"/>
        </w:rPr>
        <w:br/>
        <w:t xml:space="preserve">Eredményeimet térképeken és táblázatokban foglaltam össze. Ezek jól szemléltetik a markáns területi különbségeket. Érdekes, hogy a legtöbb társadalmi és gazdasági erőforrás, valamint utánpótlás-nevelő központ Budapesten összpontosul, a budapesti iskolák mégsem nyújtottak kiemelkedő teljesítményt a diákolimpián. A megyék eredményeit elemezve tükröződik, hogy az eredményes megyékben főként egy-egy város egy-egy iskolája emelkedik ki a legtöbbször.</w:t>
      </w:r>
      <w:r>
        <w:rPr>
          <w:color w:val="000000"/>
          <w:sz w:val="24"/>
          <w:szCs w:val="24"/>
        </w:rPr>
        <w:br/>
        <w:t xml:space="preserve">Természetesen a társadalmi és gazdasági mutatók mellett a testnevelő tanárok és edzők sportági elhivatottsága, szakképzettsége is fontos. Mindezek együttállása eredményezhet csak igazán sikeres csapatot a diákolimpián és az egyesületi szinten egyaránt. Ez a munka remélhetően új adalékokkal szolgálja a labdarúgás tudományos kutatását.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59407">
    <w:multiLevelType w:val="hybridMultilevel"/>
    <w:lvl w:ilvl="0" w:tplc="47678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59407">
    <w:abstractNumId w:val="76659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15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