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BALOGH</w:t>
            </w:r>
          </w:p>
          <w:p w:rsidR="00C275A3" w:rsidRDefault="00A96AEC" w:rsidP="00C275A3">
            <w:pPr>
              <w:pStyle w:val="Hallgatokepzes"/>
            </w:pPr>
            <w:r>
              <w:t>Hungarian literature and grammar</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Kelemen</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Gyula Krúdy’s “Biedermeier” alike war publications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focus on the occurrence of the presence of behaviours, tones, articles for personal use and ornaments, which can be connected to the conception of “Biedermeier”, published in the columns of “Magyarország” (Hungary) during the years of World War I. In the early enthusiastic articles of Krúdy, who was soon disillusioned by the promises of war, ironically toned attitude played a major role, which was transferred from the reality of the present into the creation of literary past, yet also ironic, which is constructed by the joyful, surrounding presence of the “County Court’s judge’s era.</w:t>
      </w:r>
      <w:r>
        <w:rPr>
          <w:color w:val="000000"/>
          <w:sz w:val="24"/>
          <w:szCs w:val="24"/>
        </w:rPr>
        <w:br/>
        <w:t xml:space="preserve">During the selection of the primer literatures, the writings, which called the phenomenon by it’s name and explicitly spoke of it, and the texts which numerously showed the features of the “Biedermeier” caught my attention.</w:t>
      </w:r>
      <w:r>
        <w:rPr>
          <w:color w:val="000000"/>
          <w:sz w:val="24"/>
          <w:szCs w:val="24"/>
        </w:rPr>
        <w:br/>
        <w:t xml:space="preserve">Prior to the analysis I found it important to refer to the theory, which points out the idea defining the conception of the “Biedermeier”, and the path, which is highlighted by art historian’s: emphasizing that we can only make a correct statement counting the realization possibilities of the “Biedermeier” in Hungary, together with the ones hailing from the originally German speaking culture areas , to the recent stylistic characteristics, the system of the Hungarian society and the historical situation’s specifics.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45386">
    <w:multiLevelType w:val="hybridMultilevel"/>
    <w:lvl w:ilvl="0" w:tplc="38108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45386">
    <w:abstractNumId w:val="88845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608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