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FRITZ</w:t>
            </w:r>
          </w:p>
          <w:p w:rsidR="00C275A3" w:rsidRDefault="00A96AEC" w:rsidP="00C275A3">
            <w:pPr>
              <w:pStyle w:val="Hallgatokepzes"/>
            </w:pPr>
            <w:r>
              <w:t>Hungarian grammar and literature</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Katalin Kürtösi</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experience of historical cataclysms and locations of (lack of) reminiscence. The sceneing of the past in „We only live once” by Mohácsi brothers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observes the performance of „We only live once” (Egyszer élünk) by one of the most multisided directors of contemporary Hungarian theatre. The introductory chapters aim to give a short survey in Hungarian theatrical traditions and also in the genre of historical drama. Different forms of on stage appearance of historical cataclyzms are touched upon. Namely, historical account is triggered to put in progress with the help of more and more outstanding performances of central-european theatres, the efforts of which organically match the program of past-elaboration. „We only live once” performed in the Budapest National Theatre is considered to belong to this program. The performance shows the twentieth century historical events through the life of a micro-community, rewriting the songplay of “John the Vaillant” (János vitéz) by Jenő Heltai and Pongrác Kacsoh. The analysis approaches from the direction of methods showing historical events, furthermore the special arrangement of theatrical space and the collective amnesia of Kadar era, where it intends to point at and elaborate on the shaping of the collective concealment procedures. Beside space and settings (the significant role of photographs and objects), the survey unfold the recited texts on stage.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24546">
    <w:multiLevelType w:val="hybridMultilevel"/>
    <w:lvl w:ilvl="0" w:tplc="40769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24546">
    <w:abstractNumId w:val="47524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35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