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FRUZSINA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Fogarasi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nevetséges és a kísérteties formái Victor Hugo A nevető ember című regénye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nevetséges és a kísérteties előfordulását vizsgálom Victor Hugo A nevető ember című regénye alapján.</w:t>
      </w:r>
      <w:r>
        <w:rPr>
          <w:color w:val="000000"/>
          <w:sz w:val="24"/>
          <w:szCs w:val="24"/>
        </w:rPr>
        <w:br/>
        <w:t xml:space="preserve">Az első fejezetben a komikum fogalmát vizsgálom, mely felvezetésként szolgál a későbbi fejezetekhez.</w:t>
      </w:r>
      <w:r>
        <w:rPr>
          <w:color w:val="000000"/>
          <w:sz w:val="24"/>
          <w:szCs w:val="24"/>
        </w:rPr>
        <w:br/>
        <w:t xml:space="preserve">A második fejezetben Gwynplaine alakjának értelmezési lehetőségeit veszem górcső alá. Megvizsgálom a homéroszi kacaj átalakulását és rendhagyó jelenlétét a regényben, az Iliász és az Odüsszeia szöveghelyeire, valamint a regénybeli szövegszerű megjelenésére alapozva. A homéroszi kacajban megjelenő gépiesség, folytonosság vezet át a kísérteties vizsgálatához, amely a regényben több szinten is megjelenik. Ehhez Freud, Jentsch és Heidegger kísérteties fogalmait veszem alapul.</w:t>
      </w:r>
      <w:r>
        <w:rPr>
          <w:color w:val="000000"/>
          <w:sz w:val="24"/>
          <w:szCs w:val="24"/>
        </w:rPr>
        <w:br/>
        <w:t xml:space="preserve">A harmadik, s egyben utolsó fejezetben a nevetésről értekezek, mind a nevető, mind pedig a befogadó oldaláról. Ez azért is nagyon fontos, mert egyrészt a regényben a nevetésnek központi szerepe van, másrészről a főhős maga a nevetés megjelenítője, szimbóluma. Ehhez a fejezethez Arisztotelész, Bergson, Freud, Koestler, Lessing, nevetés elméleteit használom fel.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47936">
    <w:multiLevelType w:val="hybridMultilevel"/>
    <w:lvl w:ilvl="0" w:tplc="47147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47936">
    <w:abstractNumId w:val="826479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285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