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KRISZTINA PINTÉR</w:t>
            </w:r>
          </w:p>
          <w:p w:rsidR="00C275A3" w:rsidRDefault="00A96AEC" w:rsidP="00C275A3">
            <w:pPr>
              <w:pStyle w:val="Hallgatokepzes"/>
            </w:pPr>
            <w:r>
              <w:t>Assyriology</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Zólyomi</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does it mean to be a city in Mesopotamia? Sumerian imagery, epithets with regard to religious history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Sumerian (and Akkadian) literary works there were two distinct concepts of cities. One of them could be called an archaic city concept, which represents abundance, fertility, security and it has stronger connections with city-goddesses. In some cases it is described by the imagery of the sheepfold and the cattle pen. The other concept is dominated by the presence of the temple and the seat of the current political power.</w:t>
      </w:r>
      <w:r>
        <w:rPr>
          <w:color w:val="000000"/>
          <w:sz w:val="24"/>
          <w:szCs w:val="24"/>
        </w:rPr>
        <w:br/>
        <w:t xml:space="preserve">From the 2nd millennia on the first one started to disappear, and it has no traces in Akkadian literature. The disappearance can be attributed to the literary expectations of empires.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61854">
    <w:multiLevelType w:val="hybridMultilevel"/>
    <w:lvl w:ilvl="0" w:tplc="63601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61854">
    <w:abstractNumId w:val="51561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610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