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BALAZS HORVATH</w:t>
            </w:r>
          </w:p>
          <w:p w:rsidR="00C275A3" w:rsidRDefault="00A96AEC" w:rsidP="00C275A3">
            <w:pPr>
              <w:pStyle w:val="Hallgatokepzes"/>
            </w:pPr>
            <w:r>
              <w:t>Latin - Ancient Greek MA</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Miklos Istvan Foldvary PhD</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Early Hungarian Sacramentaries in European Context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After a short methodology of the research of the medieval Roman rite I present the two earliest Hungarian sacramentaries (Sacramentarium sanctae Margaritae and Codex Prayanus), and the first missale plenum of Hungary (the so-called Missal of Németújvár). I analyse the temporale of the codexes and I confer them with a broad material of European uses. According to the items and the special structure (Spring Ember Days, Festivitas sanctae Trinitatis, etc.) the Missal of Németújvár shows a strong relationship with the use of Regensburg, which relationship is verified with the Sacramentarium Henrici II (an 11th century sacramentary from Regensburg). In the time of the foundation of the episcopate of Zagrab there would be an anachronism to presuppose an influence of the Bavarians. The episcopate of Zagrab depended on Esztergom, so the liturgical influence very likely came from Esztergom. Therefore the use of Zagrab was a survival of the primordial use of Esztergom before the liturgical reform in the 12th century. Due to historical reasons the strongest Bavarian-Hungarian relationship was in the time of Saint Stephan I, therefore the first settling of the Hungarian liturgy must took place in the time of foundation the Hungarian state. I haven't found European liturgical parallels of the Sacramentarium sanctae Margaritae and the Codex Prayanus. They show the effects of the contemporary Gregorian reforms and presumably they were used in isolated monasteries.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862660">
    <w:multiLevelType w:val="hybridMultilevel"/>
    <w:lvl w:ilvl="0" w:tplc="184955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862660">
    <w:abstractNumId w:val="748626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23863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