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KASSAI GYÖNGYI</w:t>
            </w:r>
          </w:p>
          <w:p w:rsidR="00C275A3" w:rsidRDefault="00A96AEC" w:rsidP="00C275A3">
            <w:pPr>
              <w:pStyle w:val="Hallgatokepzes"/>
            </w:pPr>
            <w:r>
              <w:t>angol-latin tanári</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Mészáros Tamás</w:t>
            </w:r>
          </w:p>
          <w:p w:rsidR="00DB4822" w:rsidRDefault="00DB4822" w:rsidP="009763E0">
            <w:pPr>
              <w:pStyle w:val="Konzulensektitulus"/>
            </w:pPr>
            <w:r w:rsidRPr="00DB4822">
              <w:t>tud. munkatárs,  ELTE Eötvös József Collegium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Genealogiae deorum – egy kiadatlan humanista költemény (Cod. Lat. 423.)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tárgya egy ismeretlen humanista költő Genealogiae deorum című, 473 hexameterből álló kiadatlan költeménye. A szöveggel kapcsolatos kutatás elsődleges célja kritikai szövegkiadás készítése az OSzK-ban őrzött, részletesebben bemutatásra kerülő Cod. Lat. 423. és a bécsi Österreichische Nationalbibliothek Cod. 250 számú kódexe alapján.</w:t>
      </w:r>
    </w:p>
    <w:p>
      <w:pPr>
        <w:widowControl w:val="on"/>
        <w:pBdr/>
        <w:spacing w:before="240" w:after="240" w:line="240" w:lineRule="auto"/>
        <w:ind w:left="0" w:right="0"/>
        <w:jc w:val="left"/>
      </w:pPr>
      <w:r>
        <w:rPr>
          <w:color w:val="000000"/>
          <w:sz w:val="24"/>
          <w:szCs w:val="24"/>
        </w:rPr>
        <w:t xml:space="preserve">A dolgozat első részében a kéziratokkal kapcsolatos tudnivalókat tárgyalom, különös tekintettel a Cod. Lat. 423. fizikai tulajdonságaira és provenienciájára. Ezt követően megadom a kiadásban használt rövidítéseket (Sigla), bemutatom a szöveg néhány helyesírási sajátosságát (Ortographica), megállapítom a kéziratok egymáshoz való viszonyát (Stemma), majd a bevezető utolsó szakaszában kitérek a költemény verstani jellemzőire (Metrica).</w:t>
      </w:r>
    </w:p>
    <w:p>
      <w:pPr>
        <w:widowControl w:val="on"/>
        <w:pBdr/>
        <w:spacing w:before="240" w:after="240" w:line="240" w:lineRule="auto"/>
        <w:ind w:left="0" w:right="0"/>
        <w:jc w:val="left"/>
      </w:pPr>
      <w:r>
        <w:rPr>
          <w:color w:val="000000"/>
          <w:sz w:val="24"/>
          <w:szCs w:val="24"/>
        </w:rPr>
        <w:t xml:space="preserve">Ezután megkísérlem elhelyezni a költeményt a humanista irodalmi hagyományban, kiemelve a szöveg néhány tartalmi érdekességét. Röviden ismertetem a legfontosabb ókori és kortárs forrásokat, amelyek között az ismert és népszerű antik művek mellett (Ovidius Metamorphoses, Hésiodos Theogonia stb.) kiemelt szerepet tulajdonítok Boccaccio De genealogia deorum gentilium című művének. Végül közlöm a szöveg kritikai apparatussal kiegészített kiadását.</w:t>
      </w:r>
    </w:p>
    <w:p>
      <w:pPr>
        <w:widowControl w:val="on"/>
        <w:pBdr/>
        <w:spacing w:before="240" w:after="240" w:line="240" w:lineRule="auto"/>
        <w:ind w:left="0" w:right="0"/>
        <w:jc w:val="left"/>
      </w:pPr>
      <w:r>
        <w:rPr>
          <w:color w:val="000000"/>
          <w:sz w:val="24"/>
          <w:szCs w:val="24"/>
        </w:rPr>
        <w:t xml:space="preserve">A mű egy poeta doctus rendszerezésre törekvő, összegző kísérlete, amelynek logikus szerkezete, változatos mitológiai utalásai és etimologizáló magyarázatai művelt humanista szerzőt sejtetnek. A szöveg részletes feldolgozása a humanista irodalmi hagyomány jellegének megértéséhez visz közelebb, a kéziratok történetének vizsgálata pedig a corvinák hányattatott sorsába nyújt betekintést.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17361">
    <w:multiLevelType w:val="hybridMultilevel"/>
    <w:lvl w:ilvl="0" w:tplc="32487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17361">
    <w:abstractNumId w:val="78617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793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