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GYÖNGYI KASSAI</w:t>
            </w:r>
          </w:p>
          <w:p w:rsidR="00C275A3" w:rsidRDefault="00A96AEC" w:rsidP="00C275A3">
            <w:pPr>
              <w:pStyle w:val="Hallgatokepzes"/>
            </w:pPr>
            <w:r>
              <w:t>MA in English and Latin Language Teaching</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Mészáros Dr.</w:t>
            </w:r>
          </w:p>
          <w:p w:rsidR="00DB4822" w:rsidRDefault="00DB4822" w:rsidP="00E11062">
            <w:pPr>
              <w:pStyle w:val="Konzulensek"/>
            </w:pPr>
            <w:r w:rsidRPr="00DB4822">
              <w:t>research fellow ,  ELTE Eötvös József Collegium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Genealogiae Deorum – an Unpublished Humanist Poem (Cod. Lat. 423.)</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paper is an unpublished work of an unkown humanist poet entitled Genealogiae deorum, which consists of 473 hexameters. The primary aim of the research is to make a critical text edition of this poem based on two texts: Cod. Lat. 423. (Budapest, National Széchényi Library), to be presented in more detail, and Cod. 250 (Wien, Österreichische Nationalbibliothek; studied on microfilm).</w:t>
      </w:r>
    </w:p>
    <w:p>
      <w:pPr>
        <w:widowControl w:val="on"/>
        <w:pBdr/>
        <w:spacing w:before="240" w:after="240" w:line="240" w:lineRule="auto"/>
        <w:ind w:left="0" w:right="0"/>
        <w:jc w:val="left"/>
      </w:pPr>
      <w:r>
        <w:rPr>
          <w:color w:val="000000"/>
          <w:sz w:val="24"/>
          <w:szCs w:val="24"/>
        </w:rPr>
        <w:t xml:space="preserve">In the first part of the paper, basic pieces of information are discussed concerning the manuscripts, particularly the physical properties and the provenance of Cod. Lat. 423. In addition, abbreviations used in the text edition are specified (Sigla), ortographical peculiarities are presented (Ortographica) and the relationship between the manuscripts is set up (Stemma). The last part of the introduction focuses on the metrical features of the text (Metrica).</w:t>
      </w:r>
    </w:p>
    <w:p>
      <w:pPr>
        <w:widowControl w:val="on"/>
        <w:pBdr/>
        <w:spacing w:before="240" w:after="240" w:line="240" w:lineRule="auto"/>
        <w:ind w:left="0" w:right="0"/>
        <w:jc w:val="left"/>
      </w:pPr>
      <w:r>
        <w:rPr>
          <w:color w:val="000000"/>
          <w:sz w:val="24"/>
          <w:szCs w:val="24"/>
        </w:rPr>
        <w:t xml:space="preserve">In the second part, I aim to find the place of the poem in the humanist literary tradition, highlighting some curious points contentwise. I also present the most important sources of the text among which, apart from well–known and popular works of antiquity (such as the Metamorphoses by Ovid, or the Theogonia by Hesiod etc.), Boccaccio’s De genealogia deorum gentilium also seems to play an important role. Finally, the last section consists of the critical edition of the text.</w:t>
      </w:r>
    </w:p>
    <w:p>
      <w:pPr>
        <w:widowControl w:val="on"/>
        <w:pBdr/>
        <w:spacing w:before="240" w:after="240" w:line="240" w:lineRule="auto"/>
        <w:ind w:left="0" w:right="0"/>
        <w:jc w:val="left"/>
      </w:pPr>
      <w:r>
        <w:rPr>
          <w:color w:val="000000"/>
          <w:sz w:val="24"/>
          <w:szCs w:val="24"/>
        </w:rPr>
        <w:t xml:space="preserve">The poem can be regarded as an attempt of summarisation and systematisation by a poeta doctus; the logical organisation, the varied mythological references and the etymologizing explanations of the text suggest a highly erudite author. A more intensive work with the text itself provides a deeper understanding of the nature of humanist literary tradition, while by examining the history of the manuscripts an insight can be gained into the adventurous life of codices from the Bibliotheca Corviniana.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42641">
    <w:multiLevelType w:val="hybridMultilevel"/>
    <w:lvl w:ilvl="0" w:tplc="736475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42641">
    <w:abstractNumId w:val="78942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61920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