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GYEBNÁR</w:t>
            </w:r>
          </w:p>
          <w:p w:rsidR="00C275A3" w:rsidRDefault="00A96AEC" w:rsidP="00C275A3">
            <w:pPr>
              <w:pStyle w:val="Hallgatokepzes"/>
            </w:pPr>
            <w:r>
              <w:t>Primary School Teacher</w:t>
            </w:r>
            <w:r>
              <w:br/>
            </w:r>
            <w:r w:rsidR="00E77B23">
              <w:t>BA, 4.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VIKTÓRIA PUSZTAI</w:t>
            </w:r>
          </w:p>
          <w:p w:rsidR="00DB4822" w:rsidRDefault="00C275A3" w:rsidP="004D7940">
            <w:pPr>
              <w:pStyle w:val="Hallgatokepzes"/>
            </w:pPr>
            <w:r>
              <w:t>Primary School Teacher</w:t>
            </w:r>
            <w:r w:rsidR="00A96AEC">
              <w:br/>
              <w:t>BA, 4.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Florea Olteanu Dr.</w:t>
            </w:r>
          </w:p>
          <w:p w:rsidR="00DB4822" w:rsidRDefault="00DB4822" w:rsidP="00E11062">
            <w:pPr>
              <w:pStyle w:val="Konzulensek"/>
            </w:pPr>
            <w:r w:rsidRPr="00DB4822">
              <w:t>college professor,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Romanians' traditional life until the 20th century in Kétegyháza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Presented The Romanians' traditional life until the 20th century in Kétegyháza" essay, where they reveal the mostly 19th century Romanians' lifestyle, traditions, the children's part, and that how could this isolated community and the language survive even till today. The authors chose this subject as one of them is half Romanian herself, and the other student as a future-teacher also wanted to look into the Romanian families' lifestyle to understand their behaviour. It is really important as Hungary is a multicultural country, and there are also a huge number of Romanians live in Békés county who we meet day by day. They observed if there anything has changed between the old and the new traditions.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10755">
    <w:multiLevelType w:val="hybridMultilevel"/>
    <w:lvl w:ilvl="0" w:tplc="11419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10755">
    <w:abstractNumId w:val="94210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916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