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SZATMÁRI</w:t>
            </w:r>
          </w:p>
          <w:p w:rsidR="00C275A3" w:rsidRDefault="00A96AEC" w:rsidP="00C275A3">
            <w:pPr>
              <w:pStyle w:val="Hallgatokepzes"/>
            </w:pPr>
            <w:r>
              <w:t>Hungarian language and literature</w:t>
            </w:r>
            <w:r>
              <w:br/>
            </w:r>
            <w:r w:rsidR="00E77B23">
              <w:t>MA, 3.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Pap</w:t>
            </w:r>
          </w:p>
          <w:p w:rsidR="00DB4822" w:rsidRDefault="00DB4822" w:rsidP="00E11062">
            <w:pPr>
              <w:pStyle w:val="Konzulensek"/>
            </w:pPr>
            <w:r w:rsidRPr="00DB4822">
              <w:t>professor's assistant,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Texts and variants -- Radicalizing the plural text concept in old Hungarian context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tries to find a solution to a practical problem with a theoretical viewpoint.</w:t>
      </w:r>
      <w:r>
        <w:rPr>
          <w:color w:val="000000"/>
          <w:sz w:val="24"/>
          <w:szCs w:val="24"/>
        </w:rPr>
        <w:br/>
        <w:t xml:space="preserve">The progressing RPHA 17 is a database where every single rhymed text of each single source appears as a new record. However the database would like to give an account of that which texts are identifiable as each other's variants without presupposing an ideal (authorized) text condition.</w:t>
      </w:r>
      <w:r>
        <w:rPr>
          <w:color w:val="000000"/>
          <w:sz w:val="24"/>
          <w:szCs w:val="24"/>
        </w:rPr>
        <w:br/>
        <w:t xml:space="preserve">The overview of more important results of the newer textological literature gives a hand in the development of a text concept which is not based on the author but on the text always bound to single carriers in its existence. Thus the inner, immanent characteristics of text will be separated from the ones which we invest it in the course of the reception. We can also define the records of the database with as little preconception as possible. Actually, the single records give an account of only that there is a text on the given carrier. Everything else (the text itself, its properties, circumstances of putting it down on paper, its relationship with another text) belongs to the characterization of the record.</w:t>
      </w:r>
      <w:r>
        <w:rPr>
          <w:color w:val="000000"/>
          <w:sz w:val="24"/>
          <w:szCs w:val="24"/>
        </w:rPr>
        <w:br/>
        <w:t xml:space="preserve">Therefore the data structure of the database will depend on the existing text concepts the least. Hereby there will be a great opportunity for researchers to investigate on the relationship of author and reception, text and related cultural and literary codes.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54815">
    <w:multiLevelType w:val="hybridMultilevel"/>
    <w:lvl w:ilvl="0" w:tplc="42945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54815">
    <w:abstractNumId w:val="573548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687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