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SOÓS</w:t>
            </w:r>
          </w:p>
          <w:p w:rsidR="00C275A3" w:rsidRDefault="00A96AEC" w:rsidP="00C275A3">
            <w:pPr>
              <w:pStyle w:val="Hallgatokepzes"/>
            </w:pPr>
            <w:r>
              <w:t>Latin-Philosophy, professorial</w:t>
            </w:r>
            <w:r>
              <w:br/>
            </w:r>
            <w:r w:rsidR="00E77B23">
              <w:t>MA, 9.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Kárpáti</w:t>
            </w:r>
          </w:p>
          <w:p w:rsidR="00DB4822" w:rsidRDefault="00DB4822" w:rsidP="009763E0">
            <w:pPr>
              <w:pStyle w:val="Konzulensektitulus"/>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Livy, historian as narrator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starting point, the source of this study is the second book of the great historical work, Livy’s Ab urbe condita.</w:t>
      </w:r>
      <w:r>
        <w:rPr>
          <w:color w:val="000000"/>
          <w:sz w:val="24"/>
          <w:szCs w:val="24"/>
        </w:rPr>
        <w:br/>
        <w:t xml:space="preserve">The analyzed book is one of the totally subsisting part of the corpus, the wrouhgt peroid is from 509 BC to 468 BC, the story of the first forty years of the Roman republic.</w:t>
      </w:r>
      <w:r>
        <w:rPr>
          <w:color w:val="000000"/>
          <w:sz w:val="24"/>
          <w:szCs w:val="24"/>
        </w:rPr>
        <w:br/>
        <w:t xml:space="preserve">From the mythical time of the first book – from the foundation of Rome ( 753 BC) to the deposing of the kings (circa 510 BC) – the second book is a well structured transition to the historical era, presents the fight against the factiouses strained after royal authority and their sponsors and the foundation of the republics institutional and moral principles.</w:t>
      </w:r>
      <w:r>
        <w:rPr>
          <w:color w:val="000000"/>
          <w:sz w:val="24"/>
          <w:szCs w:val="24"/>
        </w:rPr>
        <w:br/>
        <w:t xml:space="preserve">The platforms of the examination were the ’historian’s utterances’ which can be detectable in the literally reading of the text.</w:t>
      </w:r>
      <w:r>
        <w:rPr>
          <w:color w:val="000000"/>
          <w:sz w:val="24"/>
          <w:szCs w:val="24"/>
        </w:rPr>
        <w:br/>
        <w:t xml:space="preserve">These first-person singular statements are appreciations about the historical sources and variants not accomodated to the main topic of the story.</w:t>
      </w:r>
      <w:r>
        <w:rPr>
          <w:color w:val="000000"/>
          <w:sz w:val="24"/>
          <w:szCs w:val="24"/>
        </w:rPr>
        <w:br/>
        <w:t xml:space="preserve">In my opinion these ’historian’s utterances’ are substantial elements of the mechanism of narration so we could approxiamate the definition of their functions if we used the modern toolbar of the narratology.</w:t>
      </w:r>
      <w:r>
        <w:rPr>
          <w:color w:val="000000"/>
          <w:sz w:val="24"/>
          <w:szCs w:val="24"/>
        </w:rPr>
        <w:br/>
        <w:t xml:space="preserve">With the narratological analysis of Livy’s historical writing I am intending to find the answers for the questions: What we can do these utterances? What kind of function have they in the text? How can they be registered the tradition of the historical writings?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37112">
    <w:multiLevelType w:val="hybridMultilevel"/>
    <w:lvl w:ilvl="0" w:tplc="58703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37112">
    <w:abstractNumId w:val="26637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895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