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FRUZSINA PÁLINKÁS</w:t>
            </w:r>
          </w:p>
          <w:p w:rsidR="00C275A3" w:rsidRDefault="00A96AEC" w:rsidP="00C275A3">
            <w:pPr>
              <w:pStyle w:val="Hallgatokepzes"/>
            </w:pPr>
            <w:r>
              <w:t>Psychology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Anita Deák,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effects of two types of dance-movement classes on mood and state anxiety following a single session.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research presented in this paper examined the effects of two types of dance-movement classes on mood and state anxiety following a single session of each classes. The theoretical framework for the study is based on a number of previous researche done in the field of exercise science and dance, supporting the findings that dance has a positive effect on mood and anxiety.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64 female University students volunteered to participate in the study. The two types of dance-movement classes were labeled ’fast and energetic’ (N=32) and ’slow and mindful’ (N=32). I have assessed participants’ mood and anxiety levels pre- and post- session using the Positive and Negative Affect Scale (PANAS) and the state version of the Spielberger State-Trait Anxiety Inventory (STAI-S).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results showed significant changes in mood and anxiety pre- to post-sessions. Both dance-movement classes were effective in increasing positive affect, decreasing negative affect and lowering participants’ level of state anxiety in a single session. There were no significant differences between the effects of the two types of dance-movement classes on any of the assessed scales.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light of this study I would propose dance-movement classes as a beneficial method for improving mood states and lowering state anxiety.</w:t>
      </w:r>
      <w:r>
        <w:rPr>
          <w:color w:val="000000"/>
          <w:sz w:val="24"/>
          <w:szCs w:val="24"/>
        </w:rPr>
        <w:br/>
        <w:t xml:space="preserve">Future research could investigate further the underlying mechanisms behind these effects, using more detailed and sensitive scales and methods for assessing mood changes.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07823">
    <w:multiLevelType w:val="hybridMultilevel"/>
    <w:lvl w:ilvl="0" w:tplc="55637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07823">
    <w:abstractNumId w:val="187078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743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