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HORVATH</w:t>
            </w:r>
          </w:p>
          <w:p w:rsidR="00C275A3" w:rsidRDefault="00A96AEC" w:rsidP="00C275A3">
            <w:pPr>
              <w:pStyle w:val="Hallgatokepzes"/>
            </w:pPr>
            <w:r>
              <w:t>social policy </w:t>
            </w:r>
            <w:r>
              <w:br/>
            </w:r>
            <w:r w:rsidR="00E77B23">
              <w:t>MA, 7.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Jozsef Madacsy Phd</w:t>
            </w:r>
          </w:p>
          <w:p w:rsidR="00DB4822" w:rsidRDefault="00DB4822" w:rsidP="009763E0">
            <w:pPr>
              <w:pStyle w:val="Konzulensektitulus"/>
            </w:pPr>
            <w:r w:rsidRPr="00DB4822">
              <w:t>assistant professor ,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drug use of teenagers in the schools of Szombathely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primary objective of my investigation was to examine the frequency of drug consumption of secondary school students according to school types. Additionally, I set out to explore the quality of the students’ relationships with their parents and friends; their views regarding the consequences of drug consumption; the proportion of consuming different types of drugs with reference to the income of their parents; and the students’ qualms about the legal repercussions of drug consumption.</w:t>
      </w:r>
      <w:r>
        <w:rPr>
          <w:color w:val="000000"/>
          <w:sz w:val="24"/>
          <w:szCs w:val="24"/>
        </w:rPr>
        <w:br/>
        <w:t xml:space="preserve">In my research, I used a questionnaire to interview 155 tenth and eleventh graders.</w:t>
      </w:r>
      <w:r>
        <w:rPr>
          <w:color w:val="000000"/>
          <w:sz w:val="24"/>
          <w:szCs w:val="24"/>
        </w:rPr>
        <w:br/>
        <w:t xml:space="preserve">In my first hypothesis, I presumed that students consuming drugs count on peer support in problematic situations, while those who do not take drugs turn to their families for help. This assumption, however, was disproven, as both drug-consuming and non-drug-consuming students rely on the support of friends and family in a similar proportion.</w:t>
      </w:r>
      <w:r>
        <w:rPr>
          <w:color w:val="000000"/>
          <w:sz w:val="24"/>
          <w:szCs w:val="24"/>
        </w:rPr>
        <w:br/>
        <w:t xml:space="preserve">My second hypothesis claimed that the illegality of drugs does not influence students; it is rather the “forbidden fruit tastes the sweetest” principle that prevails. According to the results, however, it became apparent that students are aware of the illegality of drugs, and although it does not influence their drug consumption, they are not intent on violating the law.</w:t>
      </w:r>
      <w:r>
        <w:rPr>
          <w:color w:val="000000"/>
          <w:sz w:val="24"/>
          <w:szCs w:val="24"/>
        </w:rPr>
        <w:br/>
        <w:t xml:space="preserve">In my first question, I made an attempt at finding out what drug-consuming students think about the consequences of their consumption. I pointed out that there is no connection between drug consumption and the accompanying negative feelings, as the majority of students show great concern about the harmful effects of drug consumption and addiction.</w:t>
      </w:r>
      <w:r>
        <w:rPr>
          <w:color w:val="000000"/>
          <w:sz w:val="24"/>
          <w:szCs w:val="24"/>
        </w:rPr>
        <w:br/>
        <w:t xml:space="preserve">My last two points were aimed at investigating whether the income of the parents and the nature of education have an effect on the type of drugs students use. I found out that both designer and conventional drugs are used by students with different educational backgrounds. Moreover, the parents’ income does not influence the drug consumption of their children.</w:t>
      </w:r>
      <w:r>
        <w:rPr>
          <w:color w:val="000000"/>
          <w:sz w:val="24"/>
          <w:szCs w:val="24"/>
        </w:rPr>
        <w:br/>
        <w:t xml:space="preserve">On the basis of my results, it can be seen that when designing drug prevention programmes, the interventions for technical school students should be of special importance. Besides, it is highly recommended to concentrate on the avoidance of problems stemming from lack of knowledge – especially with regard to designer drugs.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12845">
    <w:multiLevelType w:val="hybridMultilevel"/>
    <w:lvl w:ilvl="0" w:tplc="76620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12845">
    <w:abstractNumId w:val="17312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960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