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SZABÓ</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Ragadics </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Shaping Identity in a Small Hungarian Settlement in Croatia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study is mapping processes that strengthen and weaken the identity of a small Hungarian settlement in Croatia. The issue of nationality has always been an important topic in Eastern and Central Eastern Europe which does not only concern legislation (e.g. dual citizenship), but it also includes factors influencing identity construction; therefore, they promote the preservation of the language and the culture as well as their perpetuation to next generations. For this reason, discussion on language and culture are significant parts of the paper.</w:t>
      </w:r>
    </w:p>
    <w:p>
      <w:pPr>
        <w:widowControl w:val="on"/>
        <w:pBdr/>
        <w:spacing w:before="240" w:after="240" w:line="240" w:lineRule="auto"/>
        <w:ind w:left="0" w:right="0"/>
        <w:jc w:val="left"/>
      </w:pPr>
      <w:r>
        <w:rPr>
          <w:color w:val="000000"/>
          <w:sz w:val="24"/>
          <w:szCs w:val="24"/>
        </w:rPr>
        <w:t xml:space="preserve">The study consists of two parts. First, I elaborate on authors who conceived theories dealing with assimilation strategies of minorities and ethnicities. The cornerstones of these theories include marriage, children, the participation of the individual in the community and the role of the community in people’s lives.</w:t>
      </w:r>
    </w:p>
    <w:p>
      <w:pPr>
        <w:widowControl w:val="on"/>
        <w:pBdr/>
        <w:spacing w:before="240" w:after="240" w:line="240" w:lineRule="auto"/>
        <w:ind w:left="0" w:right="0"/>
        <w:jc w:val="left"/>
      </w:pPr>
      <w:r>
        <w:rPr>
          <w:color w:val="000000"/>
          <w:sz w:val="24"/>
          <w:szCs w:val="24"/>
        </w:rPr>
        <w:t xml:space="preserve">In the second part of the study using the statistical data of censuses I seek to provide in-depth insights about Hungarians living in Croatia as well as about people living in the investigated settlement, Újbezdán. Since they shape identity, the issues of institutions, organizations involving Hungarians, oppositions, Hungarians’ media consumption, and the vivid memory of the war that took place in that area are discussed.</w:t>
      </w:r>
    </w:p>
    <w:p>
      <w:pPr>
        <w:widowControl w:val="on"/>
        <w:pBdr/>
        <w:spacing w:before="240" w:after="240" w:line="240" w:lineRule="auto"/>
        <w:ind w:left="0" w:right="0"/>
        <w:jc w:val="left"/>
      </w:pPr>
      <w:r>
        <w:rPr>
          <w:color w:val="000000"/>
          <w:sz w:val="24"/>
          <w:szCs w:val="24"/>
        </w:rPr>
        <w:t xml:space="preserve">In conclusion, I summarize the future prospects of the village as well as those of the people living in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35448">
    <w:multiLevelType w:val="hybridMultilevel"/>
    <w:lvl w:ilvl="0" w:tplc="22830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35448">
    <w:abstractNumId w:val="468354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437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