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MADARASZ</w:t>
            </w:r>
          </w:p>
          <w:p w:rsidR="00C275A3" w:rsidRDefault="00A96AEC" w:rsidP="00C275A3">
            <w:pPr>
              <w:pStyle w:val="Hallgatokepzes"/>
            </w:pPr>
            <w:r>
              <w:t>History - English Language</w:t>
            </w:r>
            <w:r>
              <w:br/>
            </w:r>
            <w:r w:rsidR="00E77B23">
              <w:t>MA, 7.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Virag Rab</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War Industries Board People, Decisions, Roles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the paper is the activity of the War Industries Board during World War I. The War Industries Board was established in July 28, 1917. and it had continued to operate until January 1, 1919. The main function of the board was to coordinate the industrial mobilization of the United States. The most significant figure in the board’s life was Bernard M. Baruch. He was a Wall Street investor and became statesman and advisor of President Woodrow Wilson. First he was a member of the board and later was appointed to be chairman.</w:t>
      </w:r>
      <w:r>
        <w:rPr>
          <w:color w:val="000000"/>
          <w:sz w:val="24"/>
          <w:szCs w:val="24"/>
        </w:rPr>
        <w:br/>
        <w:t xml:space="preserve">The purpose of the research is to clarify the concepts of American historiography about the board, and also to unfold the dominating business-government relations around the mobilization. The research question is about the role and activity of the board and Bernard Baruch. In addition to the examination and clarification of the previous ideas, I also investigate the board’s results, successes and deficiencies in a national context.</w:t>
      </w:r>
      <w:r>
        <w:rPr>
          <w:color w:val="000000"/>
          <w:sz w:val="24"/>
          <w:szCs w:val="24"/>
        </w:rPr>
        <w:br/>
        <w:t xml:space="preserve">.The paper is a case study, based upon qualitative methods, in which I have analyzed the literature and sources. The topic is under-researched, there is no independent publication about the board or Bernard Baruch. Therefore I have collected the relevant literature, in terms of the topic, a foreign research in the institute of the Ludwig- Maximilans Universität, and the Bayerische Staatsbibliothek library and archives. The base of the literature and the sources are: diaries, letters and records from the leader and the members of the board, early and contemporary studies and adaptations.</w:t>
      </w:r>
      <w:r>
        <w:rPr>
          <w:color w:val="000000"/>
          <w:sz w:val="24"/>
          <w:szCs w:val="24"/>
        </w:rPr>
        <w:br/>
        <w:t xml:space="preserve">The investigation of the board is a complex task, full with challenges. The result have verified the prior assumptions that the War Industries Board was not an institutionalized super-complex. The board’s role in the mobilization is much more complicated This role can not be evaluated in an exclusively positive or negative way. The aim is to widen the research and, by its results, to contribute to the understanding of the present labyrinthine economic relations. The cooperation and voluntary mind between the representatives of the economy and a government organization means the new response that the War Industries Board gave for the challenges of the era. This spirit makes it current to research the board in 2014.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561428">
    <w:multiLevelType w:val="hybridMultilevel"/>
    <w:lvl w:ilvl="0" w:tplc="895246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561428">
    <w:abstractNumId w:val="49561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1936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