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SZLAMA</w:t>
            </w:r>
          </w:p>
          <w:p w:rsidR="00C275A3" w:rsidRDefault="00A96AEC" w:rsidP="00C275A3">
            <w:pPr>
              <w:pStyle w:val="Hallgatokepzes"/>
            </w:pPr>
            <w:r>
              <w:t>folk music</w:t>
            </w:r>
            <w:r>
              <w:br/>
            </w:r>
            <w:r w:rsidR="00E77B23">
              <w:t>MA, 1. semester</w:t>
            </w:r>
          </w:p>
          <w:p w:rsidR="00C265CE" w:rsidRPr="009E5FF1" w:rsidRDefault="00E77B23" w:rsidP="00C275A3">
            <w:pPr>
              <w:pStyle w:val="Hallgatokepzes"/>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Mátyás Bolya</w:t>
            </w:r>
          </w:p>
          <w:p w:rsidR="00DB4822" w:rsidRDefault="00DB4822" w:rsidP="00E11062">
            <w:pPr>
              <w:pStyle w:val="Konzulensek"/>
            </w:pPr>
            <w:r w:rsidRPr="00DB4822">
              <w:t>professor,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Transcription for Koboz by Tabulatura - Experiment to Note the Koboz Music Material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2007, the Folk Music Department of Liszt Ferenc Academy of Music started training in folk music on all three levels of education. In the possession of accumulated experience, the classical and folk instrumental teaching methods and materials can be overviewed and compared. The musical rudiments are important in both areas, the most striking difference, however, can be seen in the performer practice. In folk music, a sort of bound, strictly stylish improvization can be found. Another important difference is that, unlike classical music, the music material of folk music - also suitable for didactic aspects - shall be prepared by the current generation.</w:t>
      </w:r>
    </w:p>
    <w:p>
      <w:pPr>
        <w:widowControl w:val="on"/>
        <w:pBdr/>
        <w:spacing w:before="240" w:after="240" w:line="240" w:lineRule="auto"/>
        <w:ind w:left="0" w:right="0"/>
        <w:jc w:val="left"/>
      </w:pPr>
      <w:r>
        <w:rPr>
          <w:color w:val="000000"/>
          <w:sz w:val="24"/>
          <w:szCs w:val="24"/>
        </w:rPr>
        <w:t xml:space="preserve">In my presentation, I show the possibilities of notes the koboz music material. As this instrument belongs in the family of lutes, in addition to using the classical score, the idea of overviewing the contemporary description and performing instructions of lute musical pieces also presented itself. Our experience shows that the system can be adapted to describe the koboz play, too. By analysing and comparing these two systems, I am looking for the answers of practical applicability.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42913">
    <w:multiLevelType w:val="hybridMultilevel"/>
    <w:lvl w:ilvl="0" w:tplc="78728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42913">
    <w:abstractNumId w:val="65542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3717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