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SZABÓ</w:t>
            </w:r>
          </w:p>
          <w:p w:rsidR="00C275A3" w:rsidRDefault="00A96AEC" w:rsidP="00C275A3">
            <w:pPr>
              <w:pStyle w:val="Hallgatokepzes"/>
            </w:pPr>
            <w:r>
              <w:t>biotechnology</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Nguyen Duc Quang</w:t>
            </w:r>
          </w:p>
          <w:p w:rsidR="00DB4822" w:rsidRDefault="00DB4822" w:rsidP="00E11062">
            <w:pPr>
              <w:pStyle w:val="Konzulensek"/>
            </w:pPr>
            <w:r w:rsidRPr="00DB4822">
              <w:t>egyetemi docens, BCE ÉTK</w:t>
            </w:r>
          </w:p>
        </w:tc>
      </w:tr>
      <w:tr w:rsidR="00DB4822" w:rsidTr="00DB4822">
        <w:tc>
          <w:tcPr>
            <w:tcW w:w="9854" w:type="dxa"/>
          </w:tcPr>
          <w:p w:rsidR="00DB4822" w:rsidRPr="00DB4822" w:rsidRDefault="00DB4822" w:rsidP="004D7940">
            <w:pPr>
              <w:pStyle w:val="Konzulensek"/>
            </w:pPr>
            <w:r w:rsidRPr="00DB4822">
              <w:t>Attila Kovacs</w:t>
            </w:r>
          </w:p>
          <w:p w:rsidR="00DB4822" w:rsidRDefault="00DB4822" w:rsidP="00E11062">
            <w:pPr>
              <w:pStyle w:val="Konzulensek"/>
            </w:pPr>
            <w:r w:rsidRPr="00DB4822">
              <w:t>PhD student, BCE ÉTK</w:t>
            </w:r>
          </w:p>
        </w:tc>
      </w:tr>
      <w:tr w:rsidR="00DB4822" w:rsidTr="00DB4822">
        <w:tc>
          <w:tcPr>
            <w:tcW w:w="9854" w:type="dxa"/>
          </w:tcPr>
          <w:p w:rsidR="00DB4822" w:rsidRPr="00DB4822" w:rsidRDefault="00DB4822" w:rsidP="004D7940">
            <w:pPr>
              <w:pStyle w:val="Konzulensek"/>
            </w:pPr>
            <w:r w:rsidRPr="00DB4822">
              <w:t>Panyik Gáborné dr.</w:t>
            </w:r>
          </w:p>
          <w:p w:rsidR="00DB4822" w:rsidRDefault="00DB4822" w:rsidP="00E11062">
            <w:pPr>
              <w:pStyle w:val="Konzulensek"/>
            </w:pPr>
            <w:r w:rsidRPr="00DB4822">
              <w:t>egyetemi adjunktus,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commercial yeast preparations on fermentation process and aromaprofile of sour cherry 'palinka'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new trend of consumption of alcoholic drinks was observed that prefers products with special aromatic characters. From this point of view, palinka producers should make premium high quality products with special flavour, thus new technology related to malting process and use of yeast strains is necessary. Many Saccharomyces cerevisaeyeast preparations with are individual characteristics of different regions are widely available in market. The differences between the strains are mainly in fermentation capacity, the alcohol yield and the flavor-releasing scoreboards. Therefore, it may be appropriate to compare these yeasts in model malts. This work focused on the investigation of fermentation capacity of the commercially available products, especially on the fermentation dynamics and on the aromatic characteristics of final spirits.</w:t>
      </w:r>
    </w:p>
    <w:p>
      <w:pPr>
        <w:widowControl w:val="on"/>
        <w:pBdr/>
        <w:spacing w:before="240" w:after="240" w:line="240" w:lineRule="auto"/>
        <w:ind w:left="0" w:right="0"/>
        <w:jc w:val="left"/>
      </w:pPr>
      <w:r>
        <w:rPr>
          <w:color w:val="000000"/>
          <w:sz w:val="24"/>
          <w:szCs w:val="24"/>
        </w:rPr>
        <w:t xml:space="preserve">In my work, the cherry concentrate and 12 Saccharomyces cerevisiae commercial products was used. The yeast preparations were provided by Herbs and Fox Ltd. as well as Kokoferm Ltd.. During the fermentation, pH values did not change significantly. Based on the weight loss results, significant differences were observed between the product groups from two distributors and even between different products. Also, the difference observed between the two groups of products in the utilization of glucose and fructose. Yeasts provided by Kokoferm Ltd. showed intensive utilization of glucose at the beginning of the fermentation and the reverse in the case of fructose. The fermentation dynamics of Kokoferm strains was bigger and thus resulted higher alcohol content than Herbs and Fox strains. About 50-90 components were detected in distillates. The fast-fermenting strains resulted smaller amounts of flavoring substances as well as poor number of aromas than those that do a fermentation of the cherry mash slowly. The principle components and cluster analysis techniques were adopted and performed to analyse spirits. Based on the results obtained, products from the Kokoferm Ltd. should made by different yeast strains, meanwhile the strains from the Herbs and Fox Ltd. were very similar ones. Summarising, the products of two groups from the suppliers were clearly distinguished, but within the group, the products showed no significant differences.</w:t>
      </w:r>
    </w:p>
    <w:p>
      <w:pPr>
        <w:widowControl w:val="on"/>
        <w:pBdr/>
        <w:spacing w:before="240" w:after="240" w:line="240" w:lineRule="auto"/>
        <w:ind w:left="0" w:right="0"/>
        <w:jc w:val="left"/>
      </w:pPr>
      <w:r>
        <w:rPr>
          <w:color w:val="000000"/>
          <w:sz w:val="24"/>
          <w:szCs w:val="24"/>
        </w:rPr>
        <w:t xml:space="preserve">This work was supported by Projects No. TÁMOP-4.2.2/B-10/1-2010-0023 and NTP-TDK-13-072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81730">
    <w:multiLevelType w:val="hybridMultilevel"/>
    <w:lvl w:ilvl="0" w:tplc="29561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81730">
    <w:abstractNumId w:val="65081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542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