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BORBAS</w:t>
            </w:r>
          </w:p>
          <w:p w:rsidR="00C275A3" w:rsidRDefault="00A96AEC" w:rsidP="00C275A3">
            <w:pPr>
              <w:pStyle w:val="Hallgatokepzes"/>
            </w:pPr>
            <w:r>
              <w:t>DIGITAL DESIGN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Csongor Szigeti</w:t>
            </w:r>
          </w:p>
          <w:p w:rsidR="00DB4822" w:rsidRDefault="00DB4822" w:rsidP="00E11062">
            <w:pPr>
              <w:pStyle w:val="Konzulensek"/>
            </w:pPr>
            <w:r w:rsidRPr="00DB4822">
              <w:t>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Bebast-Tam font family and usage / Bebas-tam betűcsalád és felhasználásai területei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foundation of my whole project was well-chosen font which can easily be modified in a way how it gets a brand new meaning. As a result, I have used the Bebas font of Riochi Tsunekawa (Dharma Type Foundry). I have already met the Bebas characters before (as it was used on flyers, banners, headers of websites and other advertising surfaces). I had to face a very complex challenge when I started the redesigning process. I was paying extra attention on keeping the font characteristics as untouched as possible although I have rotated all the letters by 15 degrees. The other important thing for me was to have a product which can also be used as a display font. I have produced an inverse italic version which came handy when I was giving a name to my font. The Bebas-tam (I'm drunk in Hungarian) was my choose since the rotation and connecting illustrations of the letters can all easily be associated with drinking and being drunk. The content of the font family: Regular, Bold , Light , Outline.</w:t>
      </w:r>
      <w:r>
        <w:rPr>
          <w:color w:val="000000"/>
          <w:sz w:val="24"/>
          <w:szCs w:val="24"/>
        </w:rPr>
        <w:br/>
        <w:t xml:space="preserve">With the creation of the Bebas-tam beer packaging, the Bebas-tam calendar and a guerrilla movement as well, I think I have created whole new areas and aspects for the usage of my font.</w:t>
      </w:r>
    </w:p>
    <w:p>
      <w:pPr>
        <w:widowControl w:val="on"/>
        <w:pBdr/>
        <w:spacing w:before="240" w:after="240" w:line="240" w:lineRule="auto"/>
        <w:ind w:left="0" w:right="0"/>
        <w:jc w:val="left"/>
      </w:pPr>
      <w:r>
        <w:rPr>
          <w:color w:val="000000"/>
          <w:sz w:val="24"/>
          <w:szCs w:val="24"/>
        </w:rPr>
        <w:t xml:space="preserve">genre: graphic design</w:t>
      </w:r>
    </w:p>
    <w:p>
      <w:pPr>
        <w:widowControl w:val="on"/>
        <w:pBdr/>
        <w:spacing w:before="240" w:after="240" w:line="240" w:lineRule="auto"/>
        <w:ind w:left="0" w:right="0"/>
        <w:jc w:val="left"/>
      </w:pPr>
      <w:r>
        <w:rPr>
          <w:color w:val="000000"/>
          <w:sz w:val="24"/>
          <w:szCs w:val="24"/>
        </w:rPr>
        <w:t xml:space="preserve">technique:digital, analog</w:t>
      </w:r>
    </w:p>
    <w:p>
      <w:pPr>
        <w:widowControl w:val="on"/>
        <w:pBdr/>
        <w:spacing w:before="240" w:after="240" w:line="240" w:lineRule="auto"/>
        <w:ind w:left="0" w:right="0"/>
        <w:jc w:val="left"/>
      </w:pPr>
      <w:r>
        <w:rPr>
          <w:color w:val="000000"/>
          <w:sz w:val="24"/>
          <w:szCs w:val="24"/>
        </w:rPr>
        <w:t xml:space="preserve">size A/2 8-9 piece poster + publication</w:t>
      </w:r>
    </w:p>
    <w:p>
      <w:pPr>
        <w:widowControl w:val="on"/>
        <w:pBdr/>
        <w:spacing w:before="240" w:after="240" w:line="240" w:lineRule="auto"/>
        <w:ind w:left="0" w:right="0"/>
        <w:jc w:val="left"/>
      </w:pPr>
      <w:r>
        <w:rPr>
          <w:color w:val="000000"/>
          <w:sz w:val="24"/>
          <w:szCs w:val="24"/>
        </w:rPr>
        <w:t xml:space="preserve">2014</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06697">
    <w:multiLevelType w:val="hybridMultilevel"/>
    <w:lvl w:ilvl="0" w:tplc="30111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06697">
    <w:abstractNumId w:val="89206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203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