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ÓCSAI ANETT</w:t>
            </w:r>
          </w:p>
          <w:p w:rsidR="00C275A3" w:rsidRDefault="00A96AEC" w:rsidP="00C275A3">
            <w:pPr>
              <w:pStyle w:val="Hallgatokepzes"/>
            </w:pPr>
            <w:r>
              <w:t>Képi Ábrázolás</w:t>
            </w:r>
            <w:r>
              <w:br/>
            </w:r>
            <w:r w:rsidR="00E77B23">
              <w:t>BA, 3. félév</w:t>
            </w:r>
          </w:p>
          <w:p w:rsidR="00C265CE" w:rsidRPr="009E5FF1" w:rsidRDefault="00E77B23" w:rsidP="009763E0">
            <w:pPr>
              <w:pStyle w:val="Hallgatointezmeny-kar"/>
              <w:rPr>
                <w:b/>
                <w:caps/>
              </w:rPr>
            </w:pPr>
            <w:r>
              <w:t>Eszterházy Károly Főiskola</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Dr.Erőss István</w:t>
            </w:r>
          </w:p>
          <w:p w:rsidR="00DB4822" w:rsidRDefault="00DB4822" w:rsidP="009763E0">
            <w:pPr>
              <w:pStyle w:val="Konzulensektitulus"/>
            </w:pPr>
            <w:r w:rsidRPr="00DB4822">
              <w:t>egyetemi docens, EKF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Nyúlcipő</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Pályamunkám egy 70 x 36,5 cm méretű olajfestmény vászonprégelt kartonon. Alkotásomat a véletlen eredményezte. Elképzelésem az volt, hogy hasonló tárgyakat csoportosítsak képemen. Nem Van Gogh hatására fordultam a cipős polc felé, bár témánk közel azonos. A festményen szereplő cipők között - mintegy kontrasztként - mégis meglapul valami nem odaillő. A nyúl alakú porcelán kaspó felépítésében lábbelit idéz, de felhasználása egészen eltérő. A forma hasonlósága e szembetűnő különbség ellenére is megengedi a nyúl és a cipő együttállását, s ezáltal a két olyannyira különböző eszköz a vásznon párbeszédbe kezd. Anyaga és üressége révén is hideg, rideg légkört teremtett. Ott állt csupaszon, ami a hiány betöltésére késztetett. Töltsd meg tartalommal, értelemmel - ez volt a motivációm, hogy új jelentéssel ruházzam fel. A sámfa kapcsolatot teremt, a nyúl így közösséget alkot a cipőkkel, de megőrzi egyediségét, kívülálló marad. Ha a mókás, állatfigurás mamuszokra gondolok, számomra az önfeledt kölyökkort idézik, az edzőcipő a kikapcsolódást, sportos életstílust, míg a bakancs ennél keményebb, és durvább, hosszú út előtti gyaloglást. Nő vagyok mi tagadás, lehet ez miatt is vonzódom ennyire hozzájuk, bár jogos lenne a felvetés, hogy akkor hol a tűsarkú? Ez vagyok én. Egy platform nélküli nő, aki másfele tipeg. Számomra fontosabb a kényelem, mint a trend. Azt vettem észre magamon, hogy ha saját beállítást hozok létre általam kedvelt, gyakran használt dolgokkal, jobban sikerül elkapnom a forma mibenlétét. Tudom hol szakadt, hol kopott, hol nyom, meddig kényelmes, és hányadik kilométer után kezdi átlépni komfortzónámat. Az évek során szerzett hegektől már nem pusztán eszköz, sőt annál sokkal több, egy arctalan képmás. Nem maszk, nem mást akarok mutatni magamból mint ami vagyok, csak egy burok amely a külvilág hatásaival szemben véd. Lehet ez a fajta önportré sokkal őszintébb, és több mindent elárul rólam, mintha tükör elé állnék és próbálnám magam reprodukálni. A képcíme, mint egy metafora, utal híres közmondásunkra:</w:t>
      </w:r>
    </w:p>
    <w:p>
      <w:pPr>
        <w:widowControl w:val="on"/>
        <w:pBdr/>
        <w:spacing w:before="240" w:after="240" w:line="240" w:lineRule="auto"/>
        <w:ind w:left="0" w:right="0"/>
        <w:jc w:val="left"/>
      </w:pPr>
      <w:r>
        <w:rPr>
          <w:color w:val="000000"/>
          <w:sz w:val="24"/>
          <w:szCs w:val="24"/>
        </w:rPr>
        <w:t xml:space="preserve">                                                              "Felhúzza a nyúlcipőt!"</w:t>
      </w:r>
    </w:p>
    <w:p>
      <w:pPr>
        <w:widowControl w:val="on"/>
        <w:pBdr/>
        <w:spacing w:before="240" w:after="240" w:line="240" w:lineRule="auto"/>
        <w:ind w:left="0" w:right="0"/>
        <w:jc w:val="left"/>
      </w:pPr>
      <w:r>
        <w:rPr>
          <w:color w:val="000000"/>
          <w:sz w:val="24"/>
          <w:szCs w:val="24"/>
        </w:rPr>
        <w:t xml:space="preserve">Rövid, tömör mégis minden benne rejlik. Gyáván elmenekülni, elrohanni, vagy fel a bakancsot és irány a legmagasabb csúcs. A választás mindenki előtt ott áll. Igaz a rendeltetésszerűen használt surranóim szerteszét, de azért a porcelán nyulam is előkészítve szükség esetén.</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8920162">
    <w:multiLevelType w:val="hybridMultilevel"/>
    <w:lvl w:ilvl="0" w:tplc="7256038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8920162">
    <w:abstractNumId w:val="4892016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9363973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