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RAHMANI MOHAMED HARUN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Francsovics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Kamatmentes bankrendszer a gazdaságban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KMB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Konferencia dolgozatom a kamatmentes bankok működéséről szól. Ennek során összehasonlítom az iszlám bankrendszert a hagyományos bankrendszerrel, és a gazdasági válság tükrében érzékeltetem, hogy az utóbbi milyen problémákat vet fel.</w:t>
      </w:r>
      <w:r>
        <w:rPr>
          <w:color w:val="000000"/>
          <w:sz w:val="24"/>
          <w:szCs w:val="24"/>
        </w:rPr>
        <w:br/>
        <w:t xml:space="preserve">A kamatmentes bankok működésének három komponense a Sharia, a bank, és az ügyfél. A kamatmentes banki működés az iszlám vallás Sharia törvényének alapján áll. A dolgozat az iszlám bankok jellemzését, fő vonásait, a legjellemzőbb számlavezetési, illetve működési konstrukciókat ismerteti, majd annak gyakorlati részében először bemutatom a kamatszedés tiltásának hátterét, és rövid történeti áttekintést adok az iszlám bank kialakulásáról. Tudományos diákköri konferencia dolgozatom ez követően a három legnagyobb iszlám bank fő vonásait vázolja fel, majd az iszlám bankrendszer terjedésének trendjét érzékelteti.</w:t>
      </w:r>
      <w:r>
        <w:rPr>
          <w:color w:val="000000"/>
          <w:sz w:val="24"/>
          <w:szCs w:val="24"/>
        </w:rPr>
        <w:br/>
        <w:t xml:space="preserve">A különböző gazdasági területeken általam készített interjúk olyan szakmai véleményeket tükröznek, amelyek a nyugati és iszlám bankrendszer előnyeinek és hátrányainak összehasonlítását segítették.</w:t>
      </w:r>
      <w:r>
        <w:rPr>
          <w:color w:val="000000"/>
          <w:sz w:val="24"/>
          <w:szCs w:val="24"/>
        </w:rPr>
        <w:br/>
        <w:t xml:space="preserve">Az iszlám bank működési elveinek és mechanizmusainak bemutatásával végső célom annak érzékeltetése, hogyan lehetne kamat nélküli banki gyakorlattal finanszírozni a gazdaságot, és ez miért jelenthetne előnyöket a magyar gazdaságnak.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417431">
    <w:multiLevelType w:val="hybridMultilevel"/>
    <w:lvl w:ilvl="0" w:tplc="21230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417431">
    <w:abstractNumId w:val="444174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15595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