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BOZÁNY TÍMEA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Gombaszögi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észak-magyarországi régió helyi adórendszerének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helyi adó; Észak-magyarországi régió; önkormányzatok adórendszere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 az Észak-magyarországi régió helyi adórendszerét, kiemelt tekintettel Nógrád megye kistérségeire.</w:t>
      </w:r>
      <w:r>
        <w:rPr>
          <w:color w:val="000000"/>
          <w:sz w:val="24"/>
          <w:szCs w:val="24"/>
        </w:rPr>
        <w:br/>
        <w:t xml:space="preserve">A dolgozat első része szakirodalomi áttekintést tartalmaz, nemzetközi és helyi adótörténetet ismertet, majd a jogszabályi környezet bemutatását tartalmazza. A következő fejezet a Helyi adó törvény részletes elemzését, valamint a törvény 2014-es változtatásait ismerteti.</w:t>
      </w:r>
      <w:r>
        <w:rPr>
          <w:color w:val="000000"/>
          <w:sz w:val="24"/>
          <w:szCs w:val="24"/>
        </w:rPr>
        <w:br/>
        <w:t xml:space="preserve">Az Észak-magyarországi régió helyi adórendszerének ismertetésére a következő fejezetben kerül sor. Először Borsod-Abaúj-Zemplén megye három településének adórendszerének elemzésére kerül sor, majd bemutatásra kerül Heves és Nógrád megye három-három településének adórendszere.</w:t>
      </w:r>
      <w:r>
        <w:rPr>
          <w:color w:val="000000"/>
          <w:sz w:val="24"/>
          <w:szCs w:val="24"/>
        </w:rPr>
        <w:br/>
        <w:t xml:space="preserve">A hasonlóságok és különbségek ismertetése után Nógrád megye kistelepüléseinek önkormányzataival készített mélyinterjúk kerülnek bemutatásra.</w:t>
      </w:r>
      <w:r>
        <w:rPr>
          <w:color w:val="000000"/>
          <w:sz w:val="24"/>
          <w:szCs w:val="24"/>
        </w:rPr>
        <w:br/>
        <w:t xml:space="preserve">Az utolsó rész összefoglalást, javaslattételt tartalmaz a helyi adórendszer javítására vonatkozóan a korábban megszerzett információk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8468">
    <w:multiLevelType w:val="hybridMultilevel"/>
    <w:lvl w:ilvl="0" w:tplc="78868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8468">
    <w:abstractNumId w:val="285084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388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