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BOZANY</w:t>
            </w:r>
          </w:p>
          <w:p w:rsidR="00C275A3" w:rsidRDefault="00A96AEC" w:rsidP="00C275A3">
            <w:pPr>
              <w:pStyle w:val="Hallgatokepzes"/>
            </w:pPr>
            <w:r>
              <w:t>Business Economics and Management</w:t>
            </w:r>
            <w:r>
              <w:br/>
            </w:r>
            <w:r w:rsidR="00E77B23">
              <w:t>BSc, 7. semester</w:t>
            </w:r>
          </w:p>
          <w:p w:rsidR="00C265CE" w:rsidRPr="009E5FF1" w:rsidRDefault="00E77B23" w:rsidP="00BA6BAF">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Ildiko Gombaszogi</w:t>
            </w:r>
          </w:p>
          <w:p w:rsidR="00DB4822" w:rsidRDefault="00DB4822" w:rsidP="00BA6BAF">
            <w:pPr>
              <w:pStyle w:val="Konzulensektitulus"/>
            </w:pPr>
            <w:r w:rsidRPr="00DB4822">
              <w:t>professor, OE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local tax system of the North Hungarian region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local tax system; North Hungarian region; local governments</w:t>
      </w:r>
      <w:r>
        <w:t xml:space="preserve"/>
      </w:r>
    </w:p>
    <w:p>
      <w:pPr>
        <w:widowControl w:val="on"/>
        <w:pBdr/>
        <w:spacing w:before="240" w:after="240" w:line="240" w:lineRule="auto"/>
        <w:ind w:left="0" w:right="0"/>
        <w:jc w:val="left"/>
      </w:pPr>
      <w:r>
        <w:rPr>
          <w:color w:val="000000"/>
          <w:sz w:val="24"/>
          <w:szCs w:val="24"/>
        </w:rPr>
        <w:t xml:space="preserve">The thesis describes the local tax system of the North Hungarian region. The first part contains a historical overview of the tax system and submits the declaratory legal regulations. The most important regulations related to the topic are introduced, including the Act on the constitution and the Act XCII of 2003 on the Rules of Taxation. In the next chapter the Act C 1990 on Local Taxes is analysed detailed. It demonstrates the local types of tax, the regulations of the procedures and the changes in the Act in 2014.</w:t>
      </w:r>
      <w:r>
        <w:rPr>
          <w:color w:val="000000"/>
          <w:sz w:val="24"/>
          <w:szCs w:val="24"/>
        </w:rPr>
        <w:br/>
        <w:t xml:space="preserve">The financial situation of the region is analysed in particular with the labor market, the properties and the tourism. Thereafter the local tax system of the North Hungarian region is submitted. Then it sums up the in-depth interviews of the local governments and presents the most important statements. The last chapter includes the summary and a SWOT analysis taking into account the local specificities.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40104">
    <w:multiLevelType w:val="hybridMultilevel"/>
    <w:lvl w:ilvl="0" w:tplc="68405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40104">
    <w:abstractNumId w:val="68140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426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