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KRISZTIÁN</w:t>
            </w:r>
          </w:p>
          <w:p w:rsidR="00C275A3" w:rsidRDefault="00A96AEC" w:rsidP="00C275A3">
            <w:pPr>
              <w:pStyle w:val="Hallgatokepzes"/>
            </w:pPr>
            <w:r>
              <w:t>Képalkotó diagnosztikai analitikus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Em. Dr. Lombay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lábakon állunk (járunk)?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szervezet rendkívül változatos struktúrákat foglal magába, ami a különböző anatómiai variációknak is köszönhető. Így van ez a lábcsontoknál is, melyek jelenléte gyakran kóros folyamatokat, traumás sérüléseket imitálhatnak.</w:t>
      </w:r>
      <w:r>
        <w:rPr>
          <w:color w:val="000000"/>
          <w:sz w:val="24"/>
          <w:szCs w:val="24"/>
        </w:rPr>
        <w:br/>
        <w:t xml:space="preserve">Előfordulhatnak téves diagnózisok, illetve indokolatlan kezelésekre is sor kerülhet. Nem ismert, hogy jelenlétük vajon növeli-e bizonyos sérülések előfordulásának esélyét, illetve az élet későbbi szakaszaiban okozhatnak-e betegségeket.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 és kérdésfeltevések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felmérni, hogy a különböző anatómiai variációk milyen gyakorisággal fordulnak elő különböző korú gyermekeknél, bizonyos típusok megjelennek-e közösen, jelenlétük „sérülékenyebbé” teszi-e a lábat a traumákkal szemben. Továbbá fontosnak tartottam kideríteni, hogy hány esetben fordul elő téves diagnózis, amikor egy normál variációt kórosnak értékelnek.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 Borsod A.Z. megyei Kórház Gyermekradiológiai osztályán folytattam. 2013. évben áttekintettem a különböző okok miatt boka-láb röntgen vizsgálatra kerülő 18 év alatti gyermekek röntgen felvételeit, illetve leleteit. A mintában szereplő 938 főből kiválasztottam 241-et (134 fiú és 107 lány), kiknek a leleteiben variáció, törés, fejlődési rendellenesség, illetve idegentest szerepelt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Életkoronkénti, illetve nemenkénti bontásban elemeztem a felvételeket a beküldő és a végső radiológiai diagnózis szerint. Vizsgáltam továbbá, hogy a különböző atlaszokban leírt csontmag és egyéb variációk milyen gyakorisággal fordultak elő, ezekről grafikai rajzokat készítettem és ezeket atlasz-szerűen, illetve statisztikai feldolgozások alapján táblázatokba foglalva összegeztem. A mintában szereplő személyek közül 163 fő töréssel, illetve 128 fő anatómiai variációval rendelkezett. Téves diagnózis az esetek 2%-ban történt, illetve 4%-ban a leletező fenntartotta mind variáció, mind törés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</w:t>
      </w:r>
      <w:r>
        <w:rPr>
          <w:color w:val="000000"/>
          <w:sz w:val="24"/>
          <w:szCs w:val="24"/>
        </w:rPr>
        <w:br/>
        <w:t xml:space="preserve">A radiográfusoknak, radiológus orvosoknak, továbbá a klinikai szakmák képviselőinek is ismerniük kell a láb (boka) csontjainak különböző variációit, hogy az indokolatlan kezelések elkerülhetővé váljanak.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57366">
    <w:multiLevelType w:val="hybridMultilevel"/>
    <w:lvl w:ilvl="0" w:tplc="45564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57366">
    <w:abstractNumId w:val="70857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697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