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ANDREA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Serdülőkorú lányok és fiúk reziliencia szintjének, életminőségének és a testmozgás gyakoriságának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serdülő kor a testi, lelki és pszicho-szociális változások időszaka. A serdülők ebben az életkorban alakítják ki a különféle megbirkózási stratégiáikat, amelyek a későbbi életük stressz tűrését, viselkedését, életminőségét is meghatározza. Kutatásom célja a serdülőkorú lányok és fiúk életminőségének, reziliencia szintjének és a testmozgás gyakoriságának összehasonlítása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A kérdőíves felmérésben 3 város 1-1 középiskolájának 421 diákja vett részt 2014 tavaszán. A vizsgált személyek átlagéletkora 16,01 ±1,19 év, a lányok és fiúk aránya 53:47% volt. Az életminőséget a Pediatric Quality of Life Inventory 4.0 Általános Moduljával, a megküzdési képességet a Resilience Scale-15 kérdőívvel vizsgáltam, amit kiegészítettem a testmozgás gyakoriságát felmérő kérdéssel. A kapott adatok átlagban és szórásban kerültek bemutatásra. Az adatok elemzése t-próbával, Khí-négyzet próbával, F-próbával, valamint a Pearson-féle korrelációs együtthatóval történt az SPSS 22.0 statisztikai szoftver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serdülők átlagos reziliencia szintje 80,83 ±9,88. A lányok és fiúk között szignifikáns eltérés található (L: 80,58 ±10,21 vs. F: 83,26 ±9,34; p=0,005). A vizsgált pubertások átlagos életminősége 73,92 ±10,85. A nemek között szignifikáns eltérés tapasztalható (L: 70,59 ±10,62 vs. F: 77,67 ±9,85; p&lt;0,001). A rendszeres fizikai mozgás között különbség figyelhető meg a serdülő lányok és fiúk között (χ2</w:t>
      </w:r>
      <w:r>
        <w:rPr>
          <w:color w:val="000000"/>
          <w:position w:val="-4"/>
          <w:sz w:val="21"/>
          <w:szCs w:val="21"/>
          <w:vertAlign w:val="subscript"/>
        </w:rPr>
        <w:t xml:space="preserve">(df 1)</w:t>
      </w:r>
      <w:r>
        <w:rPr>
          <w:color w:val="000000"/>
          <w:sz w:val="24"/>
          <w:szCs w:val="24"/>
        </w:rPr>
        <w:t xml:space="preserve">=15,767; p&lt;0,001). A rendszeres fizikai mozgás kedvező hatással van mind a reziliencia szintre (F</w:t>
      </w:r>
      <w:r>
        <w:rPr>
          <w:color w:val="000000"/>
          <w:position w:val="-4"/>
          <w:sz w:val="21"/>
          <w:szCs w:val="21"/>
          <w:vertAlign w:val="subscript"/>
        </w:rPr>
        <w:t xml:space="preserve">(1,419)</w:t>
      </w:r>
      <w:r>
        <w:rPr>
          <w:color w:val="000000"/>
          <w:sz w:val="24"/>
          <w:szCs w:val="24"/>
        </w:rPr>
        <w:t xml:space="preserve">=14,683; p&lt;0,001), mind az életminőségre (F</w:t>
      </w:r>
      <w:r>
        <w:rPr>
          <w:color w:val="000000"/>
          <w:position w:val="-4"/>
          <w:sz w:val="21"/>
          <w:szCs w:val="21"/>
          <w:vertAlign w:val="subscript"/>
        </w:rPr>
        <w:t xml:space="preserve">(1,419)</w:t>
      </w:r>
      <w:r>
        <w:rPr>
          <w:color w:val="000000"/>
          <w:sz w:val="24"/>
          <w:szCs w:val="24"/>
        </w:rPr>
        <w:t xml:space="preserve">=14,786;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serdülő lányok kedvezőtlenebb életminőség érzéssel és reziliencia szinttel rendelkeznek fiú kortársaiktól, amely a kevésbé rendszeres fizikai mozgásnak és feltételezhetően a nemek közötti biológiai különbségeknek az eredménye. A lányokra serdülőkorban nagyobb figyelmet kell fordítani a nevelőknek, pedagógusoknak, és határozottabban felhívni a figyelmet a rendszeres testmozgás előnyeire az életminőség javítása, valamint a nehézségek feletti megküzdési képesség fejlesztése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81086">
    <w:multiLevelType w:val="hybridMultilevel"/>
    <w:lvl w:ilvl="0" w:tplc="87022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81086">
    <w:abstractNumId w:val="68081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381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