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SZANDTNER</w:t>
            </w:r>
          </w:p>
          <w:p w:rsidR="00C275A3" w:rsidRDefault="00A96AEC" w:rsidP="00C275A3">
            <w:pPr>
              <w:pStyle w:val="Hallgatokepzes"/>
            </w:pPr>
            <w:r>
              <w:t>BSc in Computer (IT) Engineering</w:t>
            </w:r>
            <w:r>
              <w:br/>
            </w:r>
            <w:r w:rsidR="00E77B23">
              <w:t>BSc, 13. semester</w:t>
            </w:r>
          </w:p>
          <w:p w:rsidR="00C265CE" w:rsidRPr="009E5FF1" w:rsidRDefault="00E77B23" w:rsidP="009763E0">
            <w:pPr>
              <w:pStyle w:val="Hallgatointezmeny-kar"/>
              <w:rPr>
                <w:b/>
                <w:caps/>
              </w:rPr>
            </w:pPr>
            <w:r>
              <w:t>Gábor Dénes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Vári-Kakas István</w:t>
            </w:r>
          </w:p>
          <w:p w:rsidR="00DB4822" w:rsidRDefault="00DB4822" w:rsidP="009763E0">
            <w:pPr>
              <w:pStyle w:val="Konzulensektitulus"/>
            </w:pPr>
            <w:r w:rsidRPr="00DB4822">
              <w:t>college professor, GDF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Developments in Semiconductor Memory Technology and Architectures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its „Platform 2015” white paper, beside the excess power consumption and thus heat buildup caused by leakage currents, Intel has named the increased latency of main memory compared to the CPU as the greatest barrier to increasing computational performance. This problem is also often called the “memory wall”.</w:t>
      </w:r>
      <w:r>
        <w:rPr>
          <w:color w:val="000000"/>
          <w:sz w:val="24"/>
          <w:szCs w:val="24"/>
        </w:rPr>
        <w:br/>
        <w:t xml:space="preserve">I will provide a short overview of mature memory technologies under development, discerns the main avenues of progress and compare the main specs and features of these technologies in regards to the demands of the “memory wall” problem.</w:t>
      </w:r>
      <w:r>
        <w:rPr>
          <w:color w:val="000000"/>
          <w:sz w:val="24"/>
          <w:szCs w:val="24"/>
        </w:rPr>
        <w:br/>
        <w:t xml:space="preserve">From the above technologies, I will examine STT-RAM in detail using cell and architecture level simulation tools accompanied by a description of the tools and measurements qualities.</w:t>
      </w:r>
      <w:r>
        <w:rPr>
          <w:color w:val="000000"/>
          <w:sz w:val="24"/>
          <w:szCs w:val="24"/>
        </w:rPr>
        <w:br/>
        <w:t xml:space="preserve">Using the simulation results, I define the advantages and specs of STT-RAM architectures compared to traditional SRAM/DRAM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17071">
    <w:multiLevelType w:val="hybridMultilevel"/>
    <w:lvl w:ilvl="0" w:tplc="13992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17071">
    <w:abstractNumId w:val="47817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654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