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ADEL TASKOVICS</w:t>
            </w:r>
          </w:p>
          <w:p w:rsidR="00C275A3" w:rsidRDefault="00A96AEC" w:rsidP="00C275A3">
            <w:pPr>
              <w:pStyle w:val="Hallgatokepzes"/>
            </w:pPr>
            <w:r>
              <w:t>communication and media studies</w:t>
            </w:r>
            <w:r>
              <w:br/>
            </w:r>
            <w:r w:rsidR="00E77B23">
              <w:t>BA, 7. semester</w:t>
            </w:r>
          </w:p>
          <w:p w:rsidR="00C265CE" w:rsidRPr="009E5FF1" w:rsidRDefault="00E77B23" w:rsidP="009763E0">
            <w:pPr>
              <w:pStyle w:val="Hallgatointezmeny-kar"/>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Richard Izmindi</w:t>
            </w:r>
          </w:p>
          <w:p w:rsidR="00DB4822" w:rsidRDefault="00DB4822" w:rsidP="009763E0">
            <w:pPr>
              <w:pStyle w:val="Konzulensektitulus"/>
            </w:pPr>
            <w:r w:rsidRPr="00DB4822">
              <w:t>adjunct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 becames disability if…</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All people have to do something for his acceptance. As a person with damaged vision I get my own experience to say that this acceptance for a disabled needs more effort and stamina every day.</w:t>
      </w:r>
      <w:r>
        <w:rPr>
          <w:color w:val="000000"/>
          <w:sz w:val="24"/>
          <w:szCs w:val="24"/>
        </w:rPr>
        <w:br/>
        <w:t xml:space="preserve">With my essay I try to explain the legal actions, results achieved by civil unions and devoted work of stakeholders related to this topic that form the approach of society, and "destroying" the walls built around disabled groups. Examining the main areas of life - work, education, media - I try to present a realistic picture of the situation of these people, the chances of their equality from the change of previous regime to present days.</w:t>
      </w:r>
      <w:r>
        <w:rPr>
          <w:color w:val="000000"/>
          <w:sz w:val="24"/>
          <w:szCs w:val="24"/>
        </w:rPr>
        <w:br/>
        <w:t xml:space="preserve">I would like to prove that physical, sensory or even psychological damage does not decrease the importance of these people compared to others.</w:t>
      </w:r>
      <w:r>
        <w:rPr>
          <w:color w:val="000000"/>
          <w:sz w:val="24"/>
          <w:szCs w:val="24"/>
        </w:rPr>
        <w:br/>
        <w:t xml:space="preserve">It becomes a disadvantage when the majority refuses them, and do not give them the possibility of getting special aids, assistive- supportive services and the full-fledged existence of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58410">
    <w:multiLevelType w:val="hybridMultilevel"/>
    <w:lvl w:ilvl="0" w:tplc="50796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58410">
    <w:abstractNumId w:val="37158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2070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