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KÓTAY-NAGY</w:t>
            </w:r>
          </w:p>
          <w:p w:rsidR="00C275A3" w:rsidRDefault="00A96AEC" w:rsidP="00C275A3">
            <w:pPr>
              <w:pStyle w:val="Hallgatokepzes"/>
            </w:pPr>
            <w:r>
              <w:t>English Language Teaching - Teaching Hungarian as a Foreign Language</w:t>
            </w:r>
            <w:r>
              <w:br/>
            </w:r>
            <w:r w:rsidR="00E77B23">
              <w:t>MA,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Magdolna Halápi, PhD</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Using proverbs in the language classroom for the development of critical cultural awareness (Közmondások felhasználása a nyelvórán a kulturális tudatosság fejlesztése érdekében)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Preparing students for effective intercultural encounters by developing their cultural awareness has become a language teaching objective in the last decades. This resulted in the evolvement of a rich literature on the skills and materials to be taught and the tasks teachers could use to incorporate the cultural factor into the language curriculum. However, many authors emphasize that in terms of classroom activities and ways of assessment, there is still much to explore.</w:t>
      </w:r>
    </w:p>
    <w:p>
      <w:pPr>
        <w:widowControl w:val="on"/>
        <w:pBdr/>
        <w:spacing w:before="240" w:after="240" w:line="240" w:lineRule="auto"/>
        <w:ind w:left="0" w:right="0"/>
        <w:jc w:val="left"/>
      </w:pPr>
      <w:r>
        <w:rPr>
          <w:color w:val="000000"/>
          <w:sz w:val="24"/>
          <w:szCs w:val="24"/>
        </w:rPr>
        <w:t xml:space="preserve">One such relatively little researched area is the use of proverbs. Although there are a growing number of studies on the subject, English proverbs cannot be considered yet an integral part of TEFL. The main argument of the present paper is that proverbs could be regarded as valuable teaching material in developing students’ critical cultural awareness: they are not only cultural-linguistic artefacts encapsulating the folk wisdom of the target culture but can also stimulate students to search their own proverb directory and analyse the differences and similarities between the cultures – thereby setting out on an “ethnographical field trip”, an experience that can lead towards intercultural understanding.</w:t>
      </w:r>
    </w:p>
    <w:p>
      <w:pPr>
        <w:widowControl w:val="on"/>
        <w:pBdr/>
        <w:spacing w:before="240" w:after="240" w:line="240" w:lineRule="auto"/>
        <w:ind w:left="0" w:right="0"/>
        <w:jc w:val="left"/>
      </w:pPr>
      <w:r>
        <w:rPr>
          <w:color w:val="000000"/>
          <w:sz w:val="24"/>
          <w:szCs w:val="24"/>
        </w:rPr>
        <w:t xml:space="preserve">Following a literature review, the present paper evaluates the results of a mini case study attempting to testify the above premise. The study comprised of 15-minute proverb blocks held during the English lessons of a Hungarian secondary school’s 11th grade upper-intermediate class. Through the method of in-class observation and the analysis of portfolios and pre- and post-study compositions written by students, the study attempts to answer the following research question: Have students’ critical cultural awareness developed through the introduction of English proverbs and related discussion about English and Hungarian cultures and if yes, what are the main features of this development? Throughout the analysis of students’ performance Byram’s model of CCA (1997) was used as the basis of investigation, i.e. the main focus was on finding instances of analytical approach, reflection on the own culture and comparison of cultures.</w:t>
      </w:r>
    </w:p>
    <w:p>
      <w:pPr>
        <w:widowControl w:val="on"/>
        <w:pBdr/>
        <w:spacing w:before="240" w:after="240" w:line="240" w:lineRule="auto"/>
        <w:ind w:left="0" w:right="0"/>
        <w:jc w:val="left"/>
      </w:pPr>
      <w:r>
        <w:rPr>
          <w:color w:val="000000"/>
          <w:sz w:val="24"/>
          <w:szCs w:val="24"/>
        </w:rPr>
        <w:t xml:space="preserve">The analysis of the results reveals that there has been an identifiable development in students’ CCA, but there were qualitative differences between how the three elements were applied. The concluding chapter elaborates on these differences, identifies some ways in which efficiency could be increased and outlines a few possible paths for future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02709">
    <w:multiLevelType w:val="hybridMultilevel"/>
    <w:lvl w:ilvl="0" w:tplc="64957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02709">
    <w:abstractNumId w:val="192027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5610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