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COMPARING MONOLINGUAL AND BILINGUAL LANGUAGE DEVELOPMENT</w:t>
            </w:r>
          </w:p>
          <w:p w:rsidR="00C275A3" w:rsidRDefault="00A96AEC" w:rsidP="00C275A3">
            <w:pPr>
              <w:pStyle w:val="Hallgatokepzes"/>
            </w:pPr>
            <w:r>
              <w:t>English philological studies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Albert</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Compairing monolingual and bilingual language acquisition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Comparing monolingual and bilingual language acquisition</w:t>
      </w:r>
      <w:r>
        <w:rPr>
          <w:color w:val="000000"/>
          <w:sz w:val="24"/>
          <w:szCs w:val="24"/>
        </w:rPr>
        <w:br/>
        <w:t xml:space="preserve">The purpose of the paper is to present bilingualism and the various processes of general language development simultaneously with various bilingual implications from the time of birth to the age of two.</w:t>
      </w:r>
    </w:p>
    <w:p>
      <w:pPr>
        <w:widowControl w:val="on"/>
        <w:pBdr/>
        <w:spacing w:before="240" w:after="240" w:line="240" w:lineRule="auto"/>
        <w:ind w:left="0" w:right="0"/>
        <w:jc w:val="left"/>
      </w:pPr>
      <w:r>
        <w:rPr>
          <w:color w:val="000000"/>
          <w:sz w:val="24"/>
          <w:szCs w:val="24"/>
        </w:rPr>
        <w:t xml:space="preserve">The first section intends to present language development in general in the above phases, where it is possible, complemented by bilingual implications. This section is opened by a brief overview of bilingual literature. This is continued by the notions of expressive crying, the importance of nonverbal communication and the methods and processes of the infant’s language discrimination. The first section is closed by the appearance of verbal communication and its bilingual implications.</w:t>
      </w:r>
    </w:p>
    <w:p>
      <w:pPr>
        <w:widowControl w:val="on"/>
        <w:pBdr/>
        <w:spacing w:before="240" w:after="240" w:line="240" w:lineRule="auto"/>
        <w:ind w:left="0" w:right="0"/>
        <w:jc w:val="left"/>
      </w:pPr>
      <w:r>
        <w:rPr>
          <w:color w:val="000000"/>
          <w:sz w:val="24"/>
          <w:szCs w:val="24"/>
        </w:rPr>
        <w:t xml:space="preserve">The second section of the paper focuses on bilingual research studies and experiments presenting how views have changed regarding this phenomenon, how bilingualism received political interests and how society can be manipulated with studies.</w:t>
      </w:r>
      <w:r>
        <w:rPr>
          <w:color w:val="000000"/>
          <w:sz w:val="24"/>
          <w:szCs w:val="24"/>
        </w:rPr>
        <w:br/>
        <w:t xml:space="preserve">The conclusion briefly presents how bilingualism is regarded and all in all, what effects it has on the cognitive system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56929">
    <w:multiLevelType w:val="hybridMultilevel"/>
    <w:lvl w:ilvl="0" w:tplc="30846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56929">
    <w:abstractNumId w:val="17956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614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