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VERONIKA NÉMETH</w:t>
            </w:r>
          </w:p>
          <w:p w:rsidR="00C275A3" w:rsidRDefault="00A96AEC" w:rsidP="00C275A3">
            <w:pPr>
              <w:pStyle w:val="Hallgatokepzes"/>
            </w:pPr>
            <w:r>
              <w:t>English and Hungarian Teacher</w:t>
            </w:r>
            <w:r>
              <w:br/>
            </w:r>
            <w:r w:rsidR="00E77B23">
              <w:t>BA, 3. semester</w:t>
            </w:r>
          </w:p>
          <w:p w:rsidR="00C265CE" w:rsidRPr="009E5FF1" w:rsidRDefault="00E77B23" w:rsidP="009763E0">
            <w:pPr>
              <w:pStyle w:val="Hallgatointezmeny-kar"/>
              <w:rPr>
                <w:b/>
                <w:caps/>
              </w:rPr>
            </w:pPr>
            <w:r>
              <w:t>Pázmány Péter Catholic University</w:t>
            </w:r>
            <w:r w:rsidR="00C275A3">
              <w:br/>
            </w:r>
            <w:r w:rsidR="00DB4822">
              <w:t>Faculty of Humanities and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Zsolt Almási</w:t>
            </w:r>
          </w:p>
          <w:p w:rsidR="00DB4822" w:rsidRDefault="00DB4822" w:rsidP="009763E0">
            <w:pPr>
              <w:pStyle w:val="Konzulensektitulus"/>
            </w:pPr>
            <w:r w:rsidRPr="00DB4822">
              <w:t>associate professor,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 have what we would have we speak not what we mean" - Uses of Visual and Verbal Disguise in Measure for Measure</w:t>
      </w:r>
      <w:r>
        <w:t xml:space="preserve"/>
      </w:r>
    </w:p>
    <w:p w:rsidR="00D71DF5" w:rsidRDefault="00D71DF5" w:rsidP="00AD2602">
      <w:pPr>
        <w:jc w:val="both"/>
      </w:pPr>
    </w:p>
    <w:p>
      <w:pPr>
        <w:pStyle w:val="ListParagraphPHPDOCX"/>
        <w:numPr>
          <w:ilvl w:val="0"/>
          <w:numId w:val="28996334"/>
        </w:numPr>
        <w:spacing w:before="0" w:after="0" w:line="240" w:lineRule="auto"/>
        <w:contextualSpacing/>
        <w:jc w:val="left"/>
        <w:rPr>
          <w:sz w:val="24"/>
          <w:szCs w:val="24"/>
        </w:rPr>
      </w:pPr>
      <w:r>
        <w:rPr>
          <w:color w:val="000000"/>
          <w:sz w:val="24"/>
          <w:szCs w:val="24"/>
        </w:rPr>
        <w:t xml:space="preserve">Aims</w:t>
      </w:r>
    </w:p>
    <w:p>
      <w:pPr>
        <w:widowControl w:val="on"/>
        <w:pBdr/>
        <w:spacing w:before="240" w:after="240" w:line="240" w:lineRule="auto"/>
        <w:ind w:left="0" w:right="0"/>
        <w:jc w:val="left"/>
      </w:pPr>
      <w:r>
        <w:rPr>
          <w:color w:val="000000"/>
          <w:sz w:val="24"/>
          <w:szCs w:val="24"/>
        </w:rPr>
        <w:t xml:space="preserve">Present paper intends to find a coherent and logical pattern behind Isabella's rhetoric via tracing her journey in Vienna, where she is forced to wear an allogerical veil. Along with her rhetoric smokescreen, the inwardness she possesses is analyzed throughout the Acts. This in-depth analysis is helped by the usage of contemporary emblems.</w:t>
      </w:r>
    </w:p>
    <w:p>
      <w:pPr>
        <w:pStyle w:val="ListParagraphPHPDOCX"/>
        <w:numPr>
          <w:ilvl w:val="0"/>
          <w:numId w:val="28996334"/>
        </w:numPr>
        <w:spacing w:before="0" w:after="0" w:line="240" w:lineRule="auto"/>
        <w:contextualSpacing/>
        <w:jc w:val="left"/>
        <w:rPr>
          <w:sz w:val="24"/>
          <w:szCs w:val="24"/>
        </w:rPr>
      </w:pPr>
      <w:r>
        <w:rPr>
          <w:color w:val="000000"/>
          <w:sz w:val="24"/>
          <w:szCs w:val="24"/>
        </w:rPr>
        <w:t xml:space="preserve">Means</w:t>
      </w:r>
    </w:p>
    <w:p>
      <w:pPr>
        <w:widowControl w:val="on"/>
        <w:pBdr/>
        <w:spacing w:before="240" w:after="240" w:line="240" w:lineRule="auto"/>
        <w:ind w:left="0" w:right="0"/>
        <w:jc w:val="left"/>
      </w:pPr>
      <w:r>
        <w:rPr>
          <w:color w:val="000000"/>
          <w:sz w:val="24"/>
          <w:szCs w:val="24"/>
        </w:rPr>
        <w:t xml:space="preserve">There are two approaches by which a solution can be presented. One is going through the play chronologically while examining the more important texts given by or concerning Isabella. The other method is to apply emblems, thus both clarifying or deepening the meaning of a text.</w:t>
      </w:r>
    </w:p>
    <w:p>
      <w:pPr>
        <w:widowControl w:val="on"/>
        <w:pBdr/>
        <w:spacing w:before="240" w:after="240" w:line="240" w:lineRule="auto"/>
        <w:ind w:left="0" w:right="0"/>
        <w:jc w:val="left"/>
      </w:pPr>
      <w:r>
        <w:rPr>
          <w:color w:val="000000"/>
          <w:sz w:val="24"/>
          <w:szCs w:val="24"/>
        </w:rPr>
        <w:t xml:space="preserve">In this essay, there are four emblems inserted, their importance the following:</w:t>
      </w:r>
    </w:p>
    <w:p>
      <w:pPr>
        <w:pStyle w:val="ListParagraphPHPDOCX"/>
        <w:numPr>
          <w:ilvl w:val="0"/>
          <w:numId w:val="28996336"/>
        </w:numPr>
        <w:spacing w:before="0" w:after="0" w:line="240" w:lineRule="auto"/>
        <w:contextualSpacing/>
        <w:jc w:val="left"/>
        <w:rPr>
          <w:sz w:val="24"/>
          <w:szCs w:val="24"/>
        </w:rPr>
      </w:pPr>
      <w:r>
        <w:rPr>
          <w:color w:val="000000"/>
          <w:sz w:val="24"/>
          <w:szCs w:val="24"/>
        </w:rPr>
        <w:t xml:space="preserve">Isabella in Vienna: The first emblem gives an insight into the many reasons why the protagonist has chosen to become a nun. In order to understand Isabella's actions, we need to understand the Setting. It can be safely stated that Vienna does not tolerate complexities, especially not complex women. </w:t>
      </w:r>
    </w:p>
    <w:p>
      <w:pPr>
        <w:pStyle w:val="ListParagraphPHPDOCX"/>
        <w:numPr>
          <w:ilvl w:val="0"/>
          <w:numId w:val="28996336"/>
        </w:numPr>
        <w:spacing w:before="0" w:after="0" w:line="240" w:lineRule="auto"/>
        <w:contextualSpacing/>
        <w:jc w:val="left"/>
        <w:rPr>
          <w:sz w:val="24"/>
          <w:szCs w:val="24"/>
        </w:rPr>
      </w:pPr>
      <w:r>
        <w:rPr>
          <w:color w:val="000000"/>
          <w:sz w:val="24"/>
          <w:szCs w:val="24"/>
        </w:rPr>
        <w:t xml:space="preserve">Isabella as a Nun: The second illustration is a response and cause of the first one. If accepting her renaissance inwardness as a premise, it is only understandable that Isabella alienates herself from the rest of society since that is what leaves space for self-fashioning and grants her safety. Nunhood is a perfect instrument: Isabella becomes only responsible to God in a city where each woman is subjugated to a man, or really, all men. </w:t>
      </w:r>
    </w:p>
    <w:p>
      <w:pPr>
        <w:pStyle w:val="ListParagraphPHPDOCX"/>
        <w:numPr>
          <w:ilvl w:val="0"/>
          <w:numId w:val="28996336"/>
        </w:numPr>
        <w:spacing w:before="0" w:after="0" w:line="240" w:lineRule="auto"/>
        <w:contextualSpacing/>
        <w:jc w:val="left"/>
        <w:rPr>
          <w:sz w:val="24"/>
          <w:szCs w:val="24"/>
        </w:rPr>
      </w:pPr>
      <w:r>
        <w:rPr>
          <w:color w:val="000000"/>
          <w:sz w:val="24"/>
          <w:szCs w:val="24"/>
        </w:rPr>
        <w:t xml:space="preserve">Isabella and her Parallels: Mariana and Isabella are not the only equivalents in Measure for Measure, and this paper mainly concerns itself with the dichotomous pair of Measure for Measure, that of Isabella and Angelo. To understand this dynamic is crucial, since in many ways they are so very similar. Yet it is one conflicting aspect -Angelo's self-ignorance versus Isabella's inward clarity- that gives a certain eroticism to their relationshio. They also serve as each other's catalysts.</w:t>
      </w:r>
    </w:p>
    <w:p>
      <w:pPr>
        <w:pStyle w:val="ListParagraphPHPDOCX"/>
        <w:numPr>
          <w:ilvl w:val="0"/>
          <w:numId w:val="28996336"/>
        </w:numPr>
        <w:spacing w:before="0" w:after="0" w:line="240" w:lineRule="auto"/>
        <w:contextualSpacing/>
        <w:jc w:val="left"/>
        <w:rPr>
          <w:sz w:val="24"/>
          <w:szCs w:val="24"/>
        </w:rPr>
      </w:pPr>
      <w:r>
        <w:rPr>
          <w:color w:val="000000"/>
          <w:sz w:val="24"/>
          <w:szCs w:val="24"/>
        </w:rPr>
        <w:t xml:space="preserve">Isabella and her silence: It is to be argued whether her silence is a tragedy or, by granting mercy to Angelo, Isabella reaches grace (e.g. divine aspect of humans) and thus introduces a redemption arc into Vienna and Measure for Measure itself.</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8996336">
    <w:multiLevelType w:val="hybridMultilevel"/>
    <w:lvl w:ilvl="0" w:tplc="90698954">
      <w:start w:val="1"/>
      <w:numFmt w:val="decimal"/>
      <w:lvlText w:val="%1."/>
      <w:lvlJc w:val="left"/>
      <w:pPr>
        <w:ind w:left="720" w:hanging="360"/>
      </w:pPr>
    </w:lvl>
    <w:lvl w:ilvl="1" w:tplc="90698954" w:tentative="1">
      <w:start w:val="1"/>
      <w:numFmt w:val="lowerLetter"/>
      <w:lvlText w:val="%2."/>
      <w:lvlJc w:val="left"/>
      <w:pPr>
        <w:ind w:left="1440" w:hanging="360"/>
      </w:pPr>
    </w:lvl>
    <w:lvl w:ilvl="2" w:tplc="90698954" w:tentative="1">
      <w:start w:val="1"/>
      <w:numFmt w:val="lowerRoman"/>
      <w:lvlText w:val="%3."/>
      <w:lvlJc w:val="right"/>
      <w:pPr>
        <w:ind w:left="2160" w:hanging="180"/>
      </w:pPr>
    </w:lvl>
    <w:lvl w:ilvl="3" w:tplc="90698954" w:tentative="1">
      <w:start w:val="1"/>
      <w:numFmt w:val="decimal"/>
      <w:lvlText w:val="%4."/>
      <w:lvlJc w:val="left"/>
      <w:pPr>
        <w:ind w:left="2880" w:hanging="360"/>
      </w:pPr>
    </w:lvl>
    <w:lvl w:ilvl="4" w:tplc="90698954" w:tentative="1">
      <w:start w:val="1"/>
      <w:numFmt w:val="lowerLetter"/>
      <w:lvlText w:val="%5."/>
      <w:lvlJc w:val="left"/>
      <w:pPr>
        <w:ind w:left="3600" w:hanging="360"/>
      </w:pPr>
    </w:lvl>
    <w:lvl w:ilvl="5" w:tplc="90698954" w:tentative="1">
      <w:start w:val="1"/>
      <w:numFmt w:val="lowerRoman"/>
      <w:lvlText w:val="%6."/>
      <w:lvlJc w:val="right"/>
      <w:pPr>
        <w:ind w:left="4320" w:hanging="180"/>
      </w:pPr>
    </w:lvl>
    <w:lvl w:ilvl="6" w:tplc="90698954" w:tentative="1">
      <w:start w:val="1"/>
      <w:numFmt w:val="decimal"/>
      <w:lvlText w:val="%7."/>
      <w:lvlJc w:val="left"/>
      <w:pPr>
        <w:ind w:left="5040" w:hanging="360"/>
      </w:pPr>
    </w:lvl>
    <w:lvl w:ilvl="7" w:tplc="90698954" w:tentative="1">
      <w:start w:val="1"/>
      <w:numFmt w:val="lowerLetter"/>
      <w:lvlText w:val="%8."/>
      <w:lvlJc w:val="left"/>
      <w:pPr>
        <w:ind w:left="5760" w:hanging="360"/>
      </w:pPr>
    </w:lvl>
    <w:lvl w:ilvl="8" w:tplc="90698954" w:tentative="1">
      <w:start w:val="1"/>
      <w:numFmt w:val="lowerRoman"/>
      <w:lvlText w:val="%9."/>
      <w:lvlJc w:val="right"/>
      <w:pPr>
        <w:ind w:left="6480" w:hanging="180"/>
      </w:pPr>
    </w:lvl>
  </w:abstractNum>
  <w:abstractNum w:abstractNumId="28996334">
    <w:multiLevelType w:val="hybridMultilevel"/>
    <w:lvl w:ilvl="0" w:tplc="167672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8996334">
    <w:abstractNumId w:val="28996334"/>
  </w:num>
  <w:num w:numId="28996336">
    <w:abstractNumId w:val="289963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1796705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