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NEMESI ZSOLT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Almási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Műfaji kettősségek a Manga Shakespeare-ben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2007 és 2009 között népszerű manga-adaptációk készültek William Shakespeare drámáiból, Richard Appignanesi által. E dolgozat célja elsősorban bebizonyítani, hogy az Appignanesi-féle adaptációk, pontosabban a Hamlet és a Rómeó és Júlia, műfajilag nem mangák, hanem valahol színdarab és manga között helyezhetők el. Mindkét műfajhoz számos szállal kötődnek egyszerre, ami az adaptációkban feszültséget okoz. E feszültséget nevezem műfaji kettősségnek. A kettősség abból fakad, hogy Appignanesi szándékosan szabadon vegyít elemeket, melyeket a drámákból megőrzött (pl. szereplőlista, nyelvezet, epilógus, stb.) a manga elemei közé (pl. illusztrációk, szövegbuborék, felirat, stb.). Másodsorban, dolgozatomban bemutatok még két kettősséget a Manga Shakespeare adaptációkban, azzal érvelve, hogy ezek szükségszerűen következnek a műfaji kettősségből, és elválaszthatatlanok attól. Egyik kettősség abból fakad, hogy az adaptáció során, egyszerre két ellentétes irányelv érvényesül: az eredeti iránti hűség, ami kevés változtatást enged meg az adaptációban, illetve az individualizáló kreativitás, ami az adaptációt eltávolítja a forrástól. Jelen esetben, a drámából átvett elemek a hűség irányelvét tükrözik, míg a mangabeli újítások kreativitásra utalnak. Tehát, az elemek feszültség-teli vegyítése az adaptáció módszerét meghatározó irányelvek kettősségét feltételezi. Ez utóbbit hívom metodikai kettősségnek. A másik kettősség a Manga Shakespeare történeti előzményeire vezethető vissza. Amikor Appignanesi egy irodalmi klasszikust adaptált a manga médiumához, akaratlanul is két hagyományos funkciót hozott működésbe. Az egyik, a „classic comics” hagyománya, alárendeli a képregényt az adaptált irodalmi műnek: a képregény célja elősegíteni a klasszikus terjedését. Ez a forrás iránti hűséget tartja irányelvnek. A másik, az „amerimanga” hagyománya, úgy jött létre, hogy a képregény-konvenciókat elvető Amerikai szerzők alkalmazták műveikben a manga felszíni sajátosságait, hogy kreatívabb és színvonalasabb képregényeket alkothassanak. Így, a két irányelv használatán keresztül e két ellentétes funkció (forrás-párti, képregény-párti) egyszerre nyilvánul meg. Ezt tekintem funkcionális kettősségnek.</w:t>
      </w:r>
      <w:r>
        <w:rPr>
          <w:color w:val="000000"/>
          <w:sz w:val="24"/>
          <w:szCs w:val="24"/>
        </w:rPr>
        <w:br/>
        <w:t xml:space="preserve">Módszerként, először áttekintem a két hagyományt (classic comics, amerimanga), majd felsorolom a főbb elemeket, melyek átemelődtek vagy kimaradtak a mangából, végül elemzem az érintett műfajokat, a reneszánsz színdarabot és a mangát, kimutatva a felsorolt elemek hovatartozását.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92480">
    <w:multiLevelType w:val="hybridMultilevel"/>
    <w:lvl w:ilvl="0" w:tplc="65077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92480">
    <w:abstractNumId w:val="42492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902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