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MÁRTON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Várnagy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Kadmium(II)-peptid rendszerek oldategyensúlyi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pH potenciometria; UV-VIS; karboxilcsoport; koordináció, NMR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során kíváncsiak voltunk arra, hogy a különböző peptidek oldalláncában található tiol- és karboxilcsoportok milyen hatással vannak a peptidek kadmium megkötő képességére. A terminálisan védett tetrapeptid esetén elsődleges cél volt a szintézis megvalósítása, majd csak ezt követően terveztük a fémkötő képesség vizsgálatát.</w:t>
      </w:r>
      <w:r>
        <w:rPr>
          <w:color w:val="000000"/>
          <w:sz w:val="24"/>
          <w:szCs w:val="24"/>
        </w:rPr>
        <w:br/>
        <w:t xml:space="preserve">Az aszparaginsavat/glutaminsavat tartalmazó peptidek vizsgálatainak eredményei rámutattak arra, hogy a kialakuló kölcsönhatás a Cd(II)-ion és a vizsgált ligandumok között kicsi, és az amidnitrogén atomok deprotonálódása sem indukálódik a fémion jelenlétében. A kölcsönhatás erőssége a vizsgált ligandumok [CdA] komplexei esetén az Asp-Ala &lt; Asp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&lt; Glu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~ Asp-Glu &lt; Asp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&lt; Asp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irányban nő. Azaz a karboxilcsoportok számának növekedése a fémion koordinációs szférájában növeli a kialakuló komplexek stabilitását. Általában [CdAH] komplex kialakul, amelyben az aminocsoport protonált formában van jelen. A pH emelésével azonban ez a csoport deprotonálódik, és részt vesz a koordinációban. A pH további emelésével [CdAH</w:t>
      </w:r>
      <w:r>
        <w:rPr>
          <w:color w:val="000000"/>
          <w:position w:val="-4"/>
          <w:sz w:val="21"/>
          <w:szCs w:val="21"/>
          <w:vertAlign w:val="subscript"/>
        </w:rPr>
        <w:t xml:space="preserve">-1</w:t>
      </w:r>
      <w:r>
        <w:rPr>
          <w:color w:val="000000"/>
          <w:sz w:val="24"/>
          <w:szCs w:val="24"/>
        </w:rPr>
        <w:t xml:space="preserve">] komplex megjelenésére is van lehetőség, amely egy vegyes hidroxo komplex. A titrálások során minden esetben Cd(OH)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 csapadék vált le. A kadmium(II)ion koordinációs viszonyait más fémionokkal összehasonlítva elmondható, hogy a kialakított Lewis sav-bázis kölcsönhatások a peptidekkel a következő sorrendben csökkenek: Cu(II) &gt; Ni(II) &gt; Zn(II) ~ Co(II) &gt; Cd(II).</w:t>
      </w:r>
      <w:r>
        <w:rPr>
          <w:color w:val="000000"/>
          <w:sz w:val="24"/>
          <w:szCs w:val="24"/>
        </w:rPr>
        <w:br/>
        <w:t xml:space="preserve">A ciszteint tartalmazó peptidek közül az Ac-Cys-Ser-Ser-Cys-NH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peptidet automata peptidszintetizáló készülékkel próbáltuk szintetizálni, de egy olyan anyagot kaptunk, amely körülbelül ~20%-ban tartalmazott olyan molekulákat, amelyek szekvenciájában még megtalálható volt az a tercbutil védőcsoport.</w:t>
      </w:r>
      <w:r>
        <w:rPr>
          <w:color w:val="000000"/>
          <w:sz w:val="24"/>
          <w:szCs w:val="24"/>
        </w:rPr>
        <w:br/>
        <w:t xml:space="preserve">A glicil-cisztein ligandumot és Cd(II)-ionokat különböző mennyiségben tartalmazó rendszerek titrálása során minden esetben egy fehér csapadék leválását tapasztaltuk. Ez feltételezhetően nem Cd(OH)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hanem egy kétszeresen protonált semleges részecske. A kialakuló [CdA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2-</w:t>
      </w:r>
      <w:r>
        <w:rPr>
          <w:color w:val="000000"/>
          <w:sz w:val="24"/>
          <w:szCs w:val="24"/>
        </w:rPr>
        <w:t xml:space="preserve"> részecskében (S,O) koordináció kialakulását feltételezzük. A komplexképződésben az aminocsoportok nem vesznek részt.</w:t>
      </w:r>
      <w:r>
        <w:rPr>
          <w:color w:val="000000"/>
          <w:sz w:val="24"/>
          <w:szCs w:val="24"/>
        </w:rPr>
        <w:br/>
        <w:t xml:space="preserve">A Cd(II)-ion glicil-ciszteinnel kialakított [CdA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 komplexének vizsgálata alapján sikerült igazolnunk, hogy a komplex valóban a vizsgált ligandumot tartalmazta.</w:t>
      </w:r>
      <w:r>
        <w:rPr>
          <w:color w:val="000000"/>
          <w:sz w:val="24"/>
          <w:szCs w:val="24"/>
        </w:rPr>
        <w:br/>
        <w:t xml:space="preserve">A tetrapeptid vizsgálata során egyik esetben sem vált le csapadék, a fémiont a ligandum a teljes pH-tartományon oldatban tudta tartani, és a kadmium(II)ionnal kialakult kölcsönhatás nagyobb, mint a Zn(II)-ion esetén.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14602">
    <w:multiLevelType w:val="hybridMultilevel"/>
    <w:lvl w:ilvl="0" w:tplc="48484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14602">
    <w:abstractNumId w:val="797146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4635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